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4798" w14:textId="77777777" w:rsidR="00AB1666" w:rsidRDefault="00AB1666" w:rsidP="520F925A">
      <w:pPr>
        <w:jc w:val="center"/>
        <w:rPr>
          <w:rFonts w:ascii="ITC Avant Garde Gothic" w:hAnsi="ITC Avant Garde Gothic" w:cs="Calibri"/>
          <w:b/>
          <w:bCs/>
          <w:sz w:val="32"/>
          <w:szCs w:val="32"/>
        </w:rPr>
      </w:pPr>
      <w:r w:rsidRPr="520F925A">
        <w:rPr>
          <w:rFonts w:ascii="ITC Avant Garde Gothic" w:hAnsi="ITC Avant Garde Gothic" w:cs="Calibri"/>
          <w:b/>
          <w:bCs/>
          <w:sz w:val="32"/>
          <w:szCs w:val="32"/>
        </w:rPr>
        <w:t>Critical Dates Policy and Procedure</w:t>
      </w:r>
    </w:p>
    <w:p w14:paraId="26F94799" w14:textId="77777777" w:rsidR="00AB1666" w:rsidRPr="00D9746E" w:rsidRDefault="00AB1666" w:rsidP="00AB1666">
      <w:pPr>
        <w:jc w:val="center"/>
        <w:rPr>
          <w:rFonts w:ascii="ITC Avant Garde Gothic" w:hAnsi="ITC Avant Garde Gothic" w:cs="Calibri"/>
          <w:b/>
          <w:iCs/>
          <w:sz w:val="22"/>
          <w:szCs w:val="22"/>
        </w:rPr>
      </w:pPr>
    </w:p>
    <w:p w14:paraId="26F9479A" w14:textId="77777777" w:rsidR="00AB1666" w:rsidRPr="00D9746E" w:rsidRDefault="00AB1666" w:rsidP="00AB1666">
      <w:pPr>
        <w:rPr>
          <w:rFonts w:ascii="ITC Avant Garde Gothic" w:hAnsi="ITC Avant Garde Gothic"/>
          <w:iCs/>
          <w:sz w:val="22"/>
          <w:szCs w:val="22"/>
        </w:rPr>
      </w:pPr>
    </w:p>
    <w:p w14:paraId="26F9479B" w14:textId="77777777" w:rsidR="00AB1666" w:rsidRPr="00D9746E" w:rsidRDefault="00AB1666" w:rsidP="00AB1666">
      <w:pPr>
        <w:rPr>
          <w:rFonts w:ascii="ITC Avant Garde Gothic" w:hAnsi="ITC Avant Garde Gothic"/>
          <w:b/>
          <w:bCs/>
          <w:iCs/>
          <w:sz w:val="22"/>
          <w:szCs w:val="22"/>
        </w:rPr>
      </w:pPr>
      <w:r w:rsidRPr="00D9746E">
        <w:rPr>
          <w:rFonts w:ascii="ITC Avant Garde Gothic" w:hAnsi="ITC Avant Garde Gothic"/>
          <w:b/>
          <w:bCs/>
          <w:iCs/>
          <w:sz w:val="22"/>
          <w:szCs w:val="22"/>
        </w:rPr>
        <w:t xml:space="preserve">General Comments - </w:t>
      </w:r>
    </w:p>
    <w:p w14:paraId="26F9479C" w14:textId="77777777" w:rsidR="00AB1666" w:rsidRPr="00D9746E" w:rsidRDefault="00AB1666" w:rsidP="00AB1666">
      <w:pPr>
        <w:numPr>
          <w:ilvl w:val="0"/>
          <w:numId w:val="3"/>
        </w:numPr>
        <w:jc w:val="both"/>
        <w:rPr>
          <w:rFonts w:ascii="ITC Avant Garde Gothic" w:hAnsi="ITC Avant Garde Gothic"/>
          <w:iCs/>
          <w:sz w:val="22"/>
          <w:szCs w:val="22"/>
        </w:rPr>
      </w:pPr>
      <w:r w:rsidRPr="00D9746E">
        <w:rPr>
          <w:rFonts w:ascii="ITC Avant Garde Gothic" w:hAnsi="ITC Avant Garde Gothic"/>
          <w:iCs/>
          <w:sz w:val="22"/>
          <w:szCs w:val="22"/>
        </w:rPr>
        <w:t xml:space="preserve">This is a template/precedent document only. It should be tailored as appropriate to suit the needs of each individual firm.  </w:t>
      </w:r>
    </w:p>
    <w:p w14:paraId="26F9479D" w14:textId="77777777" w:rsidR="00AB1666" w:rsidRPr="00D9746E" w:rsidRDefault="00AB1666" w:rsidP="00AB1666">
      <w:pPr>
        <w:numPr>
          <w:ilvl w:val="0"/>
          <w:numId w:val="3"/>
        </w:numPr>
        <w:jc w:val="both"/>
        <w:rPr>
          <w:rFonts w:ascii="ITC Avant Garde Gothic" w:hAnsi="ITC Avant Garde Gothic"/>
          <w:iCs/>
          <w:sz w:val="22"/>
          <w:szCs w:val="22"/>
        </w:rPr>
      </w:pPr>
      <w:r w:rsidRPr="00D9746E">
        <w:rPr>
          <w:rFonts w:ascii="ITC Avant Garde Gothic" w:hAnsi="ITC Avant Garde Gothic"/>
          <w:iCs/>
          <w:sz w:val="22"/>
          <w:szCs w:val="22"/>
        </w:rPr>
        <w:t xml:space="preserve">All sections should be considered and implemented as deemed appropriate for the firm.  This cover page should not be included.  </w:t>
      </w:r>
    </w:p>
    <w:p w14:paraId="26F9479E" w14:textId="0722813E" w:rsidR="00AB1666" w:rsidRPr="00D9746E" w:rsidRDefault="002275EA" w:rsidP="00AB1666">
      <w:pPr>
        <w:numPr>
          <w:ilvl w:val="0"/>
          <w:numId w:val="3"/>
        </w:numPr>
        <w:jc w:val="both"/>
        <w:rPr>
          <w:rFonts w:ascii="ITC Avant Garde Gothic" w:hAnsi="ITC Avant Garde Gothic"/>
          <w:iCs/>
          <w:sz w:val="22"/>
          <w:szCs w:val="22"/>
        </w:rPr>
      </w:pPr>
      <w:r>
        <w:rPr>
          <w:rFonts w:ascii="ITC Avant Garde Gothic" w:hAnsi="ITC Avant Garde Gothic"/>
          <w:iCs/>
          <w:sz w:val="22"/>
          <w:szCs w:val="22"/>
        </w:rPr>
        <w:t>The LQSI</w:t>
      </w:r>
      <w:r w:rsidR="00AB1666" w:rsidRPr="00D9746E">
        <w:rPr>
          <w:rFonts w:ascii="ITC Avant Garde Gothic" w:hAnsi="ITC Avant Garde Gothic"/>
          <w:iCs/>
          <w:sz w:val="22"/>
          <w:szCs w:val="22"/>
        </w:rPr>
        <w:t xml:space="preserve"> cannot accept any responsibility for any errors or omissions contained in this template document.  </w:t>
      </w:r>
    </w:p>
    <w:p w14:paraId="26F9479F" w14:textId="77777777" w:rsidR="00AB1666" w:rsidRPr="00D9746E" w:rsidRDefault="00AB1666" w:rsidP="00AB1666">
      <w:pPr>
        <w:numPr>
          <w:ilvl w:val="0"/>
          <w:numId w:val="3"/>
        </w:numPr>
        <w:jc w:val="both"/>
        <w:rPr>
          <w:rFonts w:ascii="ITC Avant Garde Gothic" w:hAnsi="ITC Avant Garde Gothic"/>
          <w:iCs/>
          <w:sz w:val="22"/>
          <w:szCs w:val="22"/>
        </w:rPr>
      </w:pPr>
      <w:r w:rsidRPr="00D9746E">
        <w:rPr>
          <w:rFonts w:ascii="ITC Avant Garde Gothic" w:hAnsi="ITC Avant Garde Gothic"/>
          <w:iCs/>
          <w:sz w:val="22"/>
          <w:szCs w:val="22"/>
        </w:rPr>
        <w:t xml:space="preserve">The document should be reviewed on an annual basis, or as required.  </w:t>
      </w:r>
    </w:p>
    <w:p w14:paraId="26F947A0" w14:textId="77777777" w:rsidR="00AB1666" w:rsidRPr="00D9746E" w:rsidRDefault="00AB1666" w:rsidP="00AB1666">
      <w:pPr>
        <w:jc w:val="both"/>
        <w:rPr>
          <w:rFonts w:ascii="ITC Avant Garde Gothic" w:hAnsi="ITC Avant Garde Gothic"/>
          <w:iCs/>
          <w:sz w:val="22"/>
          <w:szCs w:val="22"/>
        </w:rPr>
      </w:pPr>
    </w:p>
    <w:p w14:paraId="26F947A1" w14:textId="77777777" w:rsidR="00AB1666" w:rsidRPr="00D9746E" w:rsidRDefault="00AB1666" w:rsidP="00AB1666">
      <w:pPr>
        <w:rPr>
          <w:rFonts w:ascii="ITC Avant Garde Gothic" w:hAnsi="ITC Avant Garde Gothic"/>
          <w:iCs/>
          <w:sz w:val="22"/>
          <w:szCs w:val="22"/>
        </w:rPr>
      </w:pPr>
    </w:p>
    <w:p w14:paraId="26F947A2" w14:textId="77777777" w:rsidR="00AB1666" w:rsidRPr="00D9746E" w:rsidRDefault="00AB1666" w:rsidP="00287725">
      <w:pPr>
        <w:jc w:val="both"/>
        <w:rPr>
          <w:rFonts w:ascii="ITC Avant Garde Gothic" w:hAnsi="ITC Avant Garde Gothic"/>
          <w:b/>
          <w:bCs/>
          <w:iCs/>
          <w:sz w:val="22"/>
          <w:szCs w:val="22"/>
        </w:rPr>
      </w:pPr>
      <w:r w:rsidRPr="00D9746E">
        <w:rPr>
          <w:rFonts w:ascii="ITC Avant Garde Gothic" w:hAnsi="ITC Avant Garde Gothic"/>
          <w:b/>
          <w:bCs/>
          <w:iCs/>
          <w:sz w:val="22"/>
          <w:szCs w:val="22"/>
        </w:rPr>
        <w:t xml:space="preserve">Specific Comments – </w:t>
      </w:r>
    </w:p>
    <w:p w14:paraId="26F947A3" w14:textId="2C54F8DD" w:rsidR="00AB1666" w:rsidRDefault="00AB1666" w:rsidP="00287725">
      <w:pPr>
        <w:numPr>
          <w:ilvl w:val="0"/>
          <w:numId w:val="4"/>
        </w:numPr>
        <w:jc w:val="both"/>
        <w:rPr>
          <w:rFonts w:ascii="ITC Avant Garde Gothic" w:hAnsi="ITC Avant Garde Gothic"/>
          <w:iCs/>
          <w:color w:val="000000"/>
          <w:sz w:val="22"/>
          <w:szCs w:val="22"/>
        </w:rPr>
      </w:pPr>
      <w:r w:rsidRPr="00D9746E">
        <w:rPr>
          <w:rFonts w:ascii="ITC Avant Garde Gothic" w:hAnsi="ITC Avant Garde Gothic"/>
          <w:iCs/>
          <w:color w:val="000000"/>
          <w:sz w:val="22"/>
          <w:szCs w:val="22"/>
        </w:rPr>
        <w:t xml:space="preserve">This requires your firm’s input to tailor it to include what key dates your firm </w:t>
      </w:r>
      <w:proofErr w:type="gramStart"/>
      <w:r w:rsidRPr="00D9746E">
        <w:rPr>
          <w:rFonts w:ascii="ITC Avant Garde Gothic" w:hAnsi="ITC Avant Garde Gothic"/>
          <w:iCs/>
          <w:color w:val="000000"/>
          <w:sz w:val="22"/>
          <w:szCs w:val="22"/>
        </w:rPr>
        <w:t>actually records</w:t>
      </w:r>
      <w:proofErr w:type="gramEnd"/>
      <w:r w:rsidRPr="00D9746E">
        <w:rPr>
          <w:rFonts w:ascii="ITC Avant Garde Gothic" w:hAnsi="ITC Avant Garde Gothic"/>
          <w:iCs/>
          <w:color w:val="000000"/>
          <w:sz w:val="22"/>
          <w:szCs w:val="22"/>
        </w:rPr>
        <w:t xml:space="preserve"> and what exact procedure your firm actually follows.</w:t>
      </w:r>
    </w:p>
    <w:p w14:paraId="52DC1212" w14:textId="2EB241C9" w:rsidR="00156980" w:rsidRPr="00E06D0B" w:rsidRDefault="00156980" w:rsidP="00287725">
      <w:pPr>
        <w:numPr>
          <w:ilvl w:val="0"/>
          <w:numId w:val="4"/>
        </w:numPr>
        <w:jc w:val="both"/>
        <w:rPr>
          <w:rFonts w:ascii="ITC Avant Garde Gothic" w:hAnsi="ITC Avant Garde Gothic"/>
          <w:sz w:val="22"/>
          <w:szCs w:val="22"/>
        </w:rPr>
      </w:pPr>
      <w:r w:rsidRPr="00E06D0B">
        <w:rPr>
          <w:rFonts w:ascii="ITC Avant Garde Gothic" w:hAnsi="ITC Avant Garde Gothic"/>
          <w:sz w:val="22"/>
          <w:szCs w:val="22"/>
        </w:rPr>
        <w:t>The policy was</w:t>
      </w:r>
      <w:r w:rsidR="7CEAE7A4" w:rsidRPr="00E06D0B">
        <w:rPr>
          <w:rFonts w:ascii="ITC Avant Garde Gothic" w:hAnsi="ITC Avant Garde Gothic"/>
          <w:sz w:val="22"/>
          <w:szCs w:val="22"/>
        </w:rPr>
        <w:t xml:space="preserve"> briefly</w:t>
      </w:r>
      <w:r w:rsidRPr="00E06D0B">
        <w:rPr>
          <w:rFonts w:ascii="ITC Avant Garde Gothic" w:hAnsi="ITC Avant Garde Gothic"/>
          <w:sz w:val="22"/>
          <w:szCs w:val="22"/>
        </w:rPr>
        <w:t xml:space="preserve"> updated</w:t>
      </w:r>
      <w:r w:rsidR="2C3963F4" w:rsidRPr="00E06D0B">
        <w:rPr>
          <w:rFonts w:ascii="ITC Avant Garde Gothic" w:hAnsi="ITC Avant Garde Gothic"/>
          <w:sz w:val="22"/>
          <w:szCs w:val="22"/>
        </w:rPr>
        <w:t xml:space="preserve"> in February 2021</w:t>
      </w:r>
      <w:r w:rsidRPr="00E06D0B">
        <w:rPr>
          <w:rFonts w:ascii="ITC Avant Garde Gothic" w:hAnsi="ITC Avant Garde Gothic"/>
          <w:sz w:val="22"/>
          <w:szCs w:val="22"/>
        </w:rPr>
        <w:t xml:space="preserve"> to include a new section to ensure that there is a clear procedure in place </w:t>
      </w:r>
      <w:r w:rsidR="00395E67" w:rsidRPr="00E06D0B">
        <w:rPr>
          <w:rFonts w:ascii="ITC Avant Garde Gothic" w:hAnsi="ITC Avant Garde Gothic"/>
          <w:sz w:val="22"/>
          <w:szCs w:val="22"/>
        </w:rPr>
        <w:t>for reviewing key dates when fee earners are working remotely</w:t>
      </w:r>
    </w:p>
    <w:p w14:paraId="07928634" w14:textId="07A809AB" w:rsidR="00E06D0B" w:rsidRPr="00395E67" w:rsidRDefault="00E06D0B" w:rsidP="00287725">
      <w:pPr>
        <w:numPr>
          <w:ilvl w:val="0"/>
          <w:numId w:val="4"/>
        </w:numPr>
        <w:jc w:val="both"/>
        <w:rPr>
          <w:rFonts w:ascii="ITC Avant Garde Gothic" w:hAnsi="ITC Avant Garde Gothic"/>
          <w:color w:val="FF0000"/>
          <w:sz w:val="22"/>
          <w:szCs w:val="22"/>
        </w:rPr>
      </w:pPr>
      <w:r w:rsidRPr="520F925A">
        <w:rPr>
          <w:rFonts w:ascii="ITC Avant Garde Gothic" w:hAnsi="ITC Avant Garde Gothic"/>
          <w:color w:val="FF0000"/>
          <w:sz w:val="22"/>
          <w:szCs w:val="22"/>
        </w:rPr>
        <w:t xml:space="preserve">This policy was updated to include reference to a new key date relating to </w:t>
      </w:r>
      <w:r w:rsidR="00287725" w:rsidRPr="520F925A">
        <w:rPr>
          <w:rFonts w:ascii="ITC Avant Garde Gothic" w:hAnsi="ITC Avant Garde Gothic"/>
          <w:color w:val="FF0000"/>
          <w:sz w:val="22"/>
          <w:szCs w:val="22"/>
        </w:rPr>
        <w:t>‘</w:t>
      </w:r>
      <w:r w:rsidRPr="520F925A">
        <w:rPr>
          <w:rFonts w:ascii="ITC Avant Garde Gothic" w:hAnsi="ITC Avant Garde Gothic"/>
          <w:color w:val="FF0000"/>
          <w:sz w:val="22"/>
          <w:szCs w:val="22"/>
        </w:rPr>
        <w:t xml:space="preserve">timely delivery of a </w:t>
      </w:r>
      <w:proofErr w:type="spellStart"/>
      <w:r w:rsidRPr="520F925A">
        <w:rPr>
          <w:rFonts w:ascii="ITC Avant Garde Gothic" w:hAnsi="ITC Avant Garde Gothic"/>
          <w:color w:val="FF0000"/>
          <w:sz w:val="22"/>
          <w:szCs w:val="22"/>
        </w:rPr>
        <w:t>defence</w:t>
      </w:r>
      <w:proofErr w:type="spellEnd"/>
      <w:r w:rsidR="00287725" w:rsidRPr="520F925A">
        <w:rPr>
          <w:rFonts w:ascii="ITC Avant Garde Gothic" w:hAnsi="ITC Avant Garde Gothic"/>
          <w:color w:val="FF0000"/>
          <w:sz w:val="22"/>
          <w:szCs w:val="22"/>
        </w:rPr>
        <w:t>’</w:t>
      </w:r>
      <w:r w:rsidRPr="520F925A">
        <w:rPr>
          <w:rFonts w:ascii="ITC Avant Garde Gothic" w:hAnsi="ITC Avant Garde Gothic"/>
          <w:color w:val="FF0000"/>
          <w:sz w:val="22"/>
          <w:szCs w:val="22"/>
        </w:rPr>
        <w:t xml:space="preserve"> </w:t>
      </w:r>
      <w:r w:rsidR="2FC60D47" w:rsidRPr="520F925A">
        <w:rPr>
          <w:rFonts w:ascii="ITC Avant Garde Gothic" w:hAnsi="ITC Avant Garde Gothic"/>
          <w:color w:val="FF0000"/>
          <w:sz w:val="22"/>
          <w:szCs w:val="22"/>
        </w:rPr>
        <w:t xml:space="preserve">pursuant to </w:t>
      </w:r>
      <w:r w:rsidRPr="520F925A">
        <w:rPr>
          <w:rFonts w:ascii="ITC Avant Garde Gothic" w:hAnsi="ITC Avant Garde Gothic"/>
          <w:color w:val="FF0000"/>
          <w:sz w:val="22"/>
          <w:szCs w:val="22"/>
        </w:rPr>
        <w:t>S.I. 490 of 2021 and S.I. 454 of 2022.</w:t>
      </w:r>
    </w:p>
    <w:p w14:paraId="26F947A4" w14:textId="77777777" w:rsidR="00AB1666" w:rsidRPr="00D9746E" w:rsidRDefault="00AB1666" w:rsidP="00287725">
      <w:pPr>
        <w:jc w:val="both"/>
        <w:rPr>
          <w:rFonts w:ascii="ITC Avant Garde Gothic" w:hAnsi="ITC Avant Garde Gothic"/>
          <w:b/>
          <w:bCs/>
          <w:iCs/>
          <w:color w:val="FF0000"/>
          <w:sz w:val="22"/>
          <w:szCs w:val="22"/>
        </w:rPr>
      </w:pPr>
    </w:p>
    <w:p w14:paraId="26F947A5" w14:textId="77777777" w:rsidR="00AB1666" w:rsidRPr="00D9746E" w:rsidRDefault="00AB1666" w:rsidP="00287725">
      <w:pPr>
        <w:jc w:val="both"/>
        <w:rPr>
          <w:rFonts w:ascii="ITC Avant Garde Gothic" w:hAnsi="ITC Avant Garde Gothic"/>
          <w:b/>
          <w:bCs/>
          <w:iCs/>
          <w:sz w:val="22"/>
          <w:szCs w:val="22"/>
        </w:rPr>
      </w:pPr>
    </w:p>
    <w:p w14:paraId="26F947A7" w14:textId="4C7ED163" w:rsidR="00AB1666" w:rsidRPr="00CB333F" w:rsidRDefault="00AB1666" w:rsidP="00AB1666">
      <w:pPr>
        <w:rPr>
          <w:rFonts w:ascii="ITC Avant Garde Gothic" w:hAnsi="ITC Avant Garde Gothic"/>
          <w:b/>
          <w:bCs/>
          <w:iCs/>
          <w:sz w:val="22"/>
          <w:szCs w:val="22"/>
        </w:rPr>
      </w:pPr>
      <w:r w:rsidRPr="00D9746E">
        <w:rPr>
          <w:rFonts w:ascii="ITC Avant Garde Gothic" w:hAnsi="ITC Avant Garde Gothic"/>
          <w:b/>
          <w:bCs/>
          <w:iCs/>
          <w:sz w:val="22"/>
          <w:szCs w:val="22"/>
        </w:rPr>
        <w:t>The</w:t>
      </w:r>
      <w:r w:rsidR="002275EA">
        <w:rPr>
          <w:rFonts w:ascii="ITC Avant Garde Gothic" w:hAnsi="ITC Avant Garde Gothic"/>
          <w:b/>
          <w:bCs/>
          <w:iCs/>
          <w:sz w:val="22"/>
          <w:szCs w:val="22"/>
        </w:rPr>
        <w:t xml:space="preserve"> Legal Quality Standard of Ireland</w:t>
      </w:r>
    </w:p>
    <w:p w14:paraId="64FC226E" w14:textId="1A5AFA10" w:rsidR="00CB333F" w:rsidRPr="00395E67" w:rsidRDefault="009641AA" w:rsidP="520F925A">
      <w:pPr>
        <w:rPr>
          <w:rFonts w:ascii="ITC Avant Garde Gothic" w:hAnsi="ITC Avant Garde Gothic"/>
          <w:b/>
          <w:bCs/>
          <w:color w:val="FF0000"/>
          <w:sz w:val="22"/>
          <w:szCs w:val="22"/>
        </w:rPr>
      </w:pPr>
      <w:r w:rsidRPr="520F925A">
        <w:rPr>
          <w:rFonts w:ascii="ITC Avant Garde Gothic" w:hAnsi="ITC Avant Garde Gothic"/>
          <w:b/>
          <w:bCs/>
          <w:color w:val="FF0000"/>
          <w:sz w:val="22"/>
          <w:szCs w:val="22"/>
        </w:rPr>
        <w:t xml:space="preserve">Updated </w:t>
      </w:r>
      <w:r w:rsidR="794153FB" w:rsidRPr="520F925A">
        <w:rPr>
          <w:rFonts w:ascii="ITC Avant Garde Gothic" w:hAnsi="ITC Avant Garde Gothic"/>
          <w:b/>
          <w:bCs/>
          <w:color w:val="FF0000"/>
          <w:sz w:val="22"/>
          <w:szCs w:val="22"/>
        </w:rPr>
        <w:t>February</w:t>
      </w:r>
      <w:r w:rsidR="00CB333F" w:rsidRPr="520F925A">
        <w:rPr>
          <w:rFonts w:ascii="ITC Avant Garde Gothic" w:hAnsi="ITC Avant Garde Gothic"/>
          <w:b/>
          <w:bCs/>
          <w:color w:val="FF0000"/>
          <w:sz w:val="22"/>
          <w:szCs w:val="22"/>
        </w:rPr>
        <w:t xml:space="preserve"> 2023</w:t>
      </w:r>
    </w:p>
    <w:p w14:paraId="26F947A8" w14:textId="77777777" w:rsidR="00AB1666" w:rsidRPr="00CE43CF" w:rsidRDefault="00AB1666" w:rsidP="00AB1666">
      <w:pPr>
        <w:rPr>
          <w:rFonts w:ascii="ITC Avant Garde Gothic" w:hAnsi="ITC Avant Garde Gothic"/>
          <w:b/>
          <w:i/>
          <w:sz w:val="20"/>
          <w:szCs w:val="20"/>
        </w:rPr>
      </w:pPr>
    </w:p>
    <w:p w14:paraId="26F947A9" w14:textId="77777777" w:rsidR="00AB1666" w:rsidRDefault="00AB1666" w:rsidP="00AB1666">
      <w:pPr>
        <w:rPr>
          <w:rFonts w:ascii="ITC Avant Garde Gothic" w:hAnsi="ITC Avant Garde Gothic"/>
          <w:b/>
          <w:i/>
        </w:rPr>
      </w:pPr>
    </w:p>
    <w:p w14:paraId="26F947AA" w14:textId="77777777" w:rsidR="00AB1666" w:rsidRDefault="00AB1666" w:rsidP="00AB1666">
      <w:pPr>
        <w:rPr>
          <w:rFonts w:ascii="ITC Avant Garde Gothic" w:hAnsi="ITC Avant Garde Gothic"/>
          <w:b/>
          <w:i/>
        </w:rPr>
      </w:pPr>
    </w:p>
    <w:p w14:paraId="26F947AB" w14:textId="77777777" w:rsidR="00AB1666" w:rsidRDefault="00AB1666" w:rsidP="00AB1666">
      <w:pPr>
        <w:rPr>
          <w:rFonts w:ascii="ITC Avant Garde Gothic" w:hAnsi="ITC Avant Garde Gothic"/>
          <w:b/>
          <w:i/>
        </w:rPr>
      </w:pPr>
    </w:p>
    <w:p w14:paraId="26F947AC" w14:textId="77777777" w:rsidR="00AB1666" w:rsidRDefault="00AB1666" w:rsidP="00AB1666">
      <w:pPr>
        <w:rPr>
          <w:rFonts w:ascii="ITC Avant Garde Gothic" w:hAnsi="ITC Avant Garde Gothic"/>
          <w:b/>
          <w:i/>
        </w:rPr>
      </w:pPr>
    </w:p>
    <w:p w14:paraId="26F947AD" w14:textId="77777777" w:rsidR="00AB1666" w:rsidRDefault="00AB1666" w:rsidP="00AB1666">
      <w:pPr>
        <w:rPr>
          <w:rFonts w:ascii="ITC Avant Garde Gothic" w:hAnsi="ITC Avant Garde Gothic"/>
          <w:b/>
          <w:i/>
        </w:rPr>
      </w:pPr>
    </w:p>
    <w:p w14:paraId="26F947AE" w14:textId="77777777" w:rsidR="00AB1666" w:rsidRDefault="00AB1666" w:rsidP="00AB1666">
      <w:pPr>
        <w:rPr>
          <w:b/>
          <w:sz w:val="28"/>
          <w:szCs w:val="28"/>
          <w:u w:val="single"/>
        </w:rPr>
      </w:pPr>
    </w:p>
    <w:p w14:paraId="26F947AF" w14:textId="77777777" w:rsidR="00AB1666" w:rsidRDefault="00AB1666" w:rsidP="00AB1666">
      <w:pPr>
        <w:rPr>
          <w:b/>
          <w:sz w:val="28"/>
          <w:szCs w:val="28"/>
          <w:u w:val="single"/>
        </w:rPr>
      </w:pPr>
    </w:p>
    <w:p w14:paraId="26F947B0" w14:textId="77777777" w:rsidR="00AB1666" w:rsidRDefault="00AB1666" w:rsidP="00AB1666">
      <w:pPr>
        <w:rPr>
          <w:b/>
          <w:sz w:val="28"/>
          <w:szCs w:val="28"/>
          <w:u w:val="single"/>
        </w:rPr>
      </w:pPr>
    </w:p>
    <w:p w14:paraId="26F947B1" w14:textId="77777777" w:rsidR="00AB1666" w:rsidRDefault="00AB1666" w:rsidP="00AB1666">
      <w:pPr>
        <w:rPr>
          <w:b/>
          <w:sz w:val="28"/>
          <w:szCs w:val="28"/>
          <w:u w:val="single"/>
        </w:rPr>
      </w:pPr>
    </w:p>
    <w:p w14:paraId="26F947B2" w14:textId="77777777" w:rsidR="00AB1666" w:rsidRDefault="00AB1666" w:rsidP="00AB1666">
      <w:pPr>
        <w:rPr>
          <w:b/>
          <w:sz w:val="28"/>
          <w:szCs w:val="28"/>
          <w:u w:val="single"/>
        </w:rPr>
      </w:pPr>
    </w:p>
    <w:p w14:paraId="26F947B3" w14:textId="77777777" w:rsidR="00AB1666" w:rsidRDefault="00AB1666" w:rsidP="00AB1666">
      <w:pPr>
        <w:rPr>
          <w:b/>
          <w:sz w:val="28"/>
          <w:szCs w:val="28"/>
          <w:u w:val="single"/>
        </w:rPr>
      </w:pPr>
    </w:p>
    <w:p w14:paraId="26F947B4" w14:textId="77777777" w:rsidR="00AB1666" w:rsidRDefault="00AB1666" w:rsidP="00AB1666">
      <w:pPr>
        <w:rPr>
          <w:b/>
          <w:sz w:val="28"/>
          <w:szCs w:val="28"/>
          <w:u w:val="single"/>
        </w:rPr>
      </w:pPr>
    </w:p>
    <w:p w14:paraId="26F947B5" w14:textId="77777777" w:rsidR="00AB1666" w:rsidRDefault="00AB1666" w:rsidP="00AB1666">
      <w:pPr>
        <w:rPr>
          <w:b/>
          <w:sz w:val="28"/>
          <w:szCs w:val="28"/>
          <w:u w:val="single"/>
        </w:rPr>
      </w:pPr>
    </w:p>
    <w:p w14:paraId="26F947B6" w14:textId="77777777" w:rsidR="00AB1666" w:rsidRDefault="00AB1666" w:rsidP="00AB1666">
      <w:pPr>
        <w:rPr>
          <w:b/>
          <w:sz w:val="28"/>
          <w:szCs w:val="28"/>
          <w:u w:val="single"/>
        </w:rPr>
      </w:pPr>
    </w:p>
    <w:p w14:paraId="26F947B7" w14:textId="77777777" w:rsidR="00AB1666" w:rsidRDefault="00AB1666" w:rsidP="00AB1666">
      <w:pPr>
        <w:rPr>
          <w:b/>
          <w:sz w:val="28"/>
          <w:szCs w:val="28"/>
          <w:u w:val="single"/>
        </w:rPr>
      </w:pPr>
    </w:p>
    <w:p w14:paraId="26F947B8" w14:textId="77777777" w:rsidR="00AB1666" w:rsidRDefault="00AB1666" w:rsidP="00AB1666">
      <w:pPr>
        <w:rPr>
          <w:b/>
          <w:sz w:val="28"/>
          <w:szCs w:val="28"/>
          <w:u w:val="single"/>
        </w:rPr>
      </w:pPr>
    </w:p>
    <w:p w14:paraId="26F947BE" w14:textId="463E2122" w:rsidR="00AB1666" w:rsidRDefault="00AB1666" w:rsidP="00AB1666">
      <w:pPr>
        <w:rPr>
          <w:b/>
          <w:sz w:val="28"/>
          <w:szCs w:val="28"/>
          <w:u w:val="single"/>
        </w:rPr>
      </w:pPr>
    </w:p>
    <w:p w14:paraId="26F947C2" w14:textId="77777777" w:rsidR="00AB1666" w:rsidRPr="001000B6" w:rsidRDefault="00AB1666" w:rsidP="520F925A">
      <w:pPr>
        <w:rPr>
          <w:b/>
          <w:bCs/>
          <w:sz w:val="28"/>
          <w:szCs w:val="28"/>
          <w:u w:val="single"/>
        </w:rPr>
      </w:pPr>
    </w:p>
    <w:p w14:paraId="26F947C3" w14:textId="0C544DD2" w:rsidR="00AB1666" w:rsidRPr="001000B6" w:rsidRDefault="64588F18" w:rsidP="520F925A">
      <w:pPr>
        <w:jc w:val="center"/>
        <w:rPr>
          <w:rFonts w:ascii="ITC Avant Garde Gothic" w:hAnsi="ITC Avant Garde Gothic" w:cs="Calibri"/>
          <w:b/>
          <w:bCs/>
          <w:sz w:val="28"/>
          <w:szCs w:val="28"/>
          <w:u w:val="single"/>
        </w:rPr>
      </w:pPr>
      <w:r w:rsidRPr="520F925A">
        <w:rPr>
          <w:rFonts w:ascii="ITC Avant Garde Gothic" w:hAnsi="ITC Avant Garde Gothic" w:cs="Calibri"/>
          <w:b/>
          <w:bCs/>
          <w:sz w:val="28"/>
          <w:szCs w:val="28"/>
          <w:u w:val="single"/>
        </w:rPr>
        <w:t>CRITICAL</w:t>
      </w:r>
      <w:r w:rsidR="005E4515">
        <w:rPr>
          <w:rFonts w:ascii="ITC Avant Garde Gothic" w:hAnsi="ITC Avant Garde Gothic" w:cs="Calibri"/>
          <w:b/>
          <w:bCs/>
          <w:sz w:val="28"/>
          <w:szCs w:val="28"/>
          <w:u w:val="single"/>
        </w:rPr>
        <w:t xml:space="preserve"> DATES </w:t>
      </w:r>
      <w:r w:rsidR="00E85721">
        <w:rPr>
          <w:rFonts w:ascii="ITC Avant Garde Gothic" w:hAnsi="ITC Avant Garde Gothic" w:cs="Calibri"/>
          <w:b/>
          <w:bCs/>
          <w:sz w:val="28"/>
          <w:szCs w:val="28"/>
          <w:u w:val="single"/>
        </w:rPr>
        <w:t>POLICY &amp; PROCEDURE</w:t>
      </w:r>
    </w:p>
    <w:p w14:paraId="26F947C4" w14:textId="77777777" w:rsidR="00AB1666" w:rsidRDefault="00AB1666" w:rsidP="00AB1666">
      <w:pPr>
        <w:rPr>
          <w:rFonts w:ascii="ITC Avant Garde Gothic" w:hAnsi="ITC Avant Garde Gothic" w:cs="Calibri"/>
          <w:b/>
          <w:sz w:val="28"/>
          <w:szCs w:val="28"/>
          <w:u w:val="single"/>
        </w:rPr>
      </w:pPr>
    </w:p>
    <w:p w14:paraId="26F947C5" w14:textId="77777777" w:rsidR="00AB1666" w:rsidRPr="00AB1666" w:rsidRDefault="00AB1666" w:rsidP="00AB1666">
      <w:pPr>
        <w:rPr>
          <w:rFonts w:ascii="ITC Avant Garde Gothic" w:hAnsi="ITC Avant Garde Gothic" w:cs="Calibri"/>
          <w:color w:val="000000" w:themeColor="text1"/>
        </w:rPr>
      </w:pPr>
    </w:p>
    <w:p w14:paraId="26F947C6" w14:textId="77777777" w:rsidR="00AB1666" w:rsidRPr="00F46F7B" w:rsidRDefault="00AB1666" w:rsidP="00AB1666">
      <w:pPr>
        <w:jc w:val="both"/>
        <w:rPr>
          <w:rFonts w:ascii="ITC Avant Garde Gothic" w:hAnsi="ITC Avant Garde Gothic" w:cs="Calibri"/>
          <w:sz w:val="22"/>
          <w:szCs w:val="22"/>
        </w:rPr>
      </w:pPr>
      <w:r w:rsidRPr="00F46F7B">
        <w:rPr>
          <w:rFonts w:ascii="ITC Avant Garde Gothic" w:hAnsi="ITC Avant Garde Gothic" w:cs="Calibri"/>
          <w:sz w:val="22"/>
          <w:szCs w:val="22"/>
        </w:rPr>
        <w:t xml:space="preserve">At </w:t>
      </w:r>
      <w:r w:rsidRPr="003F7CE7">
        <w:rPr>
          <w:rFonts w:ascii="ITC Avant Garde Gothic" w:hAnsi="ITC Avant Garde Gothic" w:cs="Calibri"/>
          <w:i/>
          <w:color w:val="FF0000"/>
          <w:sz w:val="22"/>
          <w:szCs w:val="22"/>
        </w:rPr>
        <w:t>[name of firm]</w:t>
      </w:r>
      <w:r w:rsidRPr="003F7CE7">
        <w:rPr>
          <w:rFonts w:ascii="ITC Avant Garde Gothic" w:hAnsi="ITC Avant Garde Gothic" w:cs="Calibri"/>
          <w:color w:val="FF0000"/>
          <w:sz w:val="22"/>
          <w:szCs w:val="22"/>
        </w:rPr>
        <w:t xml:space="preserve"> </w:t>
      </w:r>
      <w:r w:rsidRPr="00F46F7B">
        <w:rPr>
          <w:rFonts w:ascii="ITC Avant Garde Gothic" w:hAnsi="ITC Avant Garde Gothic" w:cs="Calibri"/>
          <w:sz w:val="22"/>
          <w:szCs w:val="22"/>
        </w:rPr>
        <w:t xml:space="preserve">we understand the importance of key dates and that it is </w:t>
      </w:r>
      <w:proofErr w:type="gramStart"/>
      <w:r w:rsidRPr="00F46F7B">
        <w:rPr>
          <w:rFonts w:ascii="ITC Avant Garde Gothic" w:hAnsi="ITC Avant Garde Gothic" w:cs="Calibri"/>
          <w:sz w:val="22"/>
          <w:szCs w:val="22"/>
        </w:rPr>
        <w:t>absolutely essential</w:t>
      </w:r>
      <w:proofErr w:type="gramEnd"/>
      <w:r w:rsidRPr="00F46F7B">
        <w:rPr>
          <w:rFonts w:ascii="ITC Avant Garde Gothic" w:hAnsi="ITC Avant Garde Gothic" w:cs="Calibri"/>
          <w:sz w:val="22"/>
          <w:szCs w:val="22"/>
        </w:rPr>
        <w:t xml:space="preserve"> to record key dates in such a way that they will not be overlooked</w:t>
      </w:r>
      <w:r w:rsidRPr="00F46F7B">
        <w:rPr>
          <w:rFonts w:ascii="ITC Avant Garde Gothic" w:hAnsi="ITC Avant Garde Gothic" w:cs="Calibri"/>
          <w:i/>
          <w:sz w:val="22"/>
          <w:szCs w:val="22"/>
        </w:rPr>
        <w:t>.</w:t>
      </w:r>
      <w:r w:rsidRPr="00F46F7B">
        <w:rPr>
          <w:rFonts w:ascii="ITC Avant Garde Gothic" w:hAnsi="ITC Avant Garde Gothic" w:cs="Calibri"/>
          <w:sz w:val="22"/>
          <w:szCs w:val="22"/>
        </w:rPr>
        <w:t xml:space="preserve">  </w:t>
      </w:r>
      <w:r w:rsidRPr="003F7CE7">
        <w:rPr>
          <w:rFonts w:ascii="ITC Avant Garde Gothic" w:hAnsi="ITC Avant Garde Gothic" w:cs="Calibri"/>
          <w:color w:val="FF0000"/>
          <w:sz w:val="22"/>
          <w:szCs w:val="22"/>
        </w:rPr>
        <w:t>[</w:t>
      </w:r>
      <w:r w:rsidRPr="003F7CE7">
        <w:rPr>
          <w:rFonts w:ascii="ITC Avant Garde Gothic" w:hAnsi="ITC Avant Garde Gothic" w:cs="Calibri"/>
          <w:i/>
          <w:color w:val="FF0000"/>
          <w:sz w:val="22"/>
          <w:szCs w:val="22"/>
        </w:rPr>
        <w:t>Name of firm</w:t>
      </w:r>
      <w:r w:rsidRPr="003F7CE7">
        <w:rPr>
          <w:rFonts w:ascii="ITC Avant Garde Gothic" w:hAnsi="ITC Avant Garde Gothic" w:cs="Calibri"/>
          <w:color w:val="FF0000"/>
          <w:sz w:val="22"/>
          <w:szCs w:val="22"/>
        </w:rPr>
        <w:t xml:space="preserve">] </w:t>
      </w:r>
      <w:r w:rsidRPr="00F46F7B">
        <w:rPr>
          <w:rFonts w:ascii="ITC Avant Garde Gothic" w:hAnsi="ITC Avant Garde Gothic" w:cs="Calibri"/>
          <w:sz w:val="22"/>
          <w:szCs w:val="22"/>
        </w:rPr>
        <w:t xml:space="preserve">operates a </w:t>
      </w:r>
      <w:r w:rsidRPr="003F7CE7">
        <w:rPr>
          <w:rFonts w:ascii="ITC Avant Garde Gothic" w:hAnsi="ITC Avant Garde Gothic" w:cs="Calibri"/>
          <w:color w:val="FF0000"/>
          <w:sz w:val="22"/>
          <w:szCs w:val="22"/>
        </w:rPr>
        <w:t>[</w:t>
      </w:r>
      <w:r w:rsidRPr="003F7CE7">
        <w:rPr>
          <w:rFonts w:ascii="ITC Avant Garde Gothic" w:hAnsi="ITC Avant Garde Gothic" w:cs="Calibri"/>
          <w:i/>
          <w:color w:val="FF0000"/>
          <w:sz w:val="22"/>
          <w:szCs w:val="22"/>
        </w:rPr>
        <w:t>central diary / key dates register / personal diaries</w:t>
      </w:r>
      <w:r w:rsidRPr="003F7CE7">
        <w:rPr>
          <w:rFonts w:ascii="ITC Avant Garde Gothic" w:hAnsi="ITC Avant Garde Gothic" w:cs="Calibri"/>
          <w:color w:val="FF0000"/>
          <w:sz w:val="22"/>
          <w:szCs w:val="22"/>
        </w:rPr>
        <w:t>]</w:t>
      </w:r>
      <w:r w:rsidRPr="00F46F7B">
        <w:rPr>
          <w:rFonts w:ascii="ITC Avant Garde Gothic" w:hAnsi="ITC Avant Garde Gothic" w:cs="Calibri"/>
          <w:sz w:val="22"/>
          <w:szCs w:val="22"/>
        </w:rPr>
        <w:t xml:space="preserve">. This is a risk management tool and forms an important part of our professional indemnity insurance arrangements. </w:t>
      </w:r>
    </w:p>
    <w:p w14:paraId="26F947C7" w14:textId="77777777" w:rsidR="00AB1666" w:rsidRPr="00F46F7B" w:rsidRDefault="00AB1666" w:rsidP="00AB1666">
      <w:pPr>
        <w:jc w:val="both"/>
        <w:rPr>
          <w:rFonts w:ascii="ITC Avant Garde Gothic" w:hAnsi="ITC Avant Garde Gothic" w:cs="Calibri"/>
          <w:sz w:val="22"/>
          <w:szCs w:val="22"/>
        </w:rPr>
      </w:pPr>
      <w:r w:rsidRPr="00F46F7B">
        <w:rPr>
          <w:rFonts w:ascii="ITC Avant Garde Gothic" w:hAnsi="ITC Avant Garde Gothic" w:cs="Calibri"/>
          <w:sz w:val="22"/>
          <w:szCs w:val="22"/>
        </w:rPr>
        <w:t> </w:t>
      </w:r>
    </w:p>
    <w:p w14:paraId="26F947C8" w14:textId="77777777" w:rsidR="00AB1666" w:rsidRPr="00D9746E" w:rsidRDefault="00AB1666" w:rsidP="00AB1666">
      <w:pPr>
        <w:rPr>
          <w:rFonts w:ascii="ITC Avant Garde Gothic" w:hAnsi="ITC Avant Garde Gothic" w:cs="Calibri"/>
          <w:b/>
          <w:sz w:val="22"/>
          <w:szCs w:val="22"/>
        </w:rPr>
      </w:pPr>
      <w:r w:rsidRPr="00D9746E">
        <w:rPr>
          <w:rFonts w:ascii="ITC Avant Garde Gothic" w:hAnsi="ITC Avant Garde Gothic" w:cs="Calibri"/>
          <w:b/>
          <w:sz w:val="22"/>
          <w:szCs w:val="22"/>
        </w:rPr>
        <w:t>General</w:t>
      </w:r>
    </w:p>
    <w:p w14:paraId="26F947C9" w14:textId="77777777" w:rsidR="00AB1666" w:rsidRPr="00D9746E" w:rsidRDefault="00AB1666" w:rsidP="00AB1666">
      <w:pPr>
        <w:rPr>
          <w:rFonts w:ascii="ITC Avant Garde Gothic" w:hAnsi="ITC Avant Garde Gothic" w:cs="Calibri"/>
          <w:sz w:val="22"/>
          <w:szCs w:val="22"/>
        </w:rPr>
      </w:pPr>
    </w:p>
    <w:p w14:paraId="26F947CA" w14:textId="77777777" w:rsidR="00AB1666" w:rsidRPr="00D9746E" w:rsidRDefault="00AB1666" w:rsidP="00AB1666">
      <w:pPr>
        <w:jc w:val="both"/>
        <w:rPr>
          <w:rFonts w:ascii="ITC Avant Garde Gothic" w:hAnsi="ITC Avant Garde Gothic" w:cs="Calibri"/>
          <w:sz w:val="22"/>
          <w:szCs w:val="22"/>
        </w:rPr>
      </w:pPr>
      <w:r w:rsidRPr="00D9746E">
        <w:rPr>
          <w:rFonts w:ascii="ITC Avant Garde Gothic" w:hAnsi="ITC Avant Garde Gothic" w:cs="Calibri"/>
          <w:sz w:val="22"/>
          <w:szCs w:val="22"/>
        </w:rPr>
        <w:t xml:space="preserve">Key dates vary significantly according to the type of work which is undertaken. The starting point is that key dates must be </w:t>
      </w:r>
      <w:r w:rsidRPr="00205DC9">
        <w:rPr>
          <w:rFonts w:ascii="ITC Avant Garde Gothic" w:hAnsi="ITC Avant Garde Gothic" w:cs="Calibri"/>
          <w:sz w:val="22"/>
          <w:szCs w:val="22"/>
        </w:rPr>
        <w:t>recorded where failure to comply could result in a negligence action, but we should also record informatio</w:t>
      </w:r>
      <w:r w:rsidRPr="00D9746E">
        <w:rPr>
          <w:rFonts w:ascii="ITC Avant Garde Gothic" w:hAnsi="ITC Avant Garde Gothic" w:cs="Calibri"/>
          <w:sz w:val="22"/>
          <w:szCs w:val="22"/>
        </w:rPr>
        <w:t xml:space="preserve">n where the firm may simply want to remind clients about issues. </w:t>
      </w:r>
    </w:p>
    <w:p w14:paraId="26F947CB" w14:textId="77777777" w:rsidR="00AB1666" w:rsidRPr="00D9746E" w:rsidRDefault="00AB1666" w:rsidP="00AB1666">
      <w:pPr>
        <w:rPr>
          <w:rFonts w:ascii="ITC Avant Garde Gothic" w:hAnsi="ITC Avant Garde Gothic" w:cs="Calibri"/>
          <w:sz w:val="22"/>
          <w:szCs w:val="22"/>
        </w:rPr>
      </w:pPr>
    </w:p>
    <w:p w14:paraId="26F947CC" w14:textId="77777777" w:rsidR="00AB1666" w:rsidRPr="00D9746E" w:rsidRDefault="00AB1666" w:rsidP="00AB1666">
      <w:pPr>
        <w:rPr>
          <w:rFonts w:ascii="ITC Avant Garde Gothic" w:hAnsi="ITC Avant Garde Gothic" w:cs="Calibri"/>
          <w:sz w:val="22"/>
          <w:szCs w:val="22"/>
        </w:rPr>
      </w:pPr>
      <w:r w:rsidRPr="00D9746E">
        <w:rPr>
          <w:rFonts w:ascii="ITC Avant Garde Gothic" w:hAnsi="ITC Avant Garde Gothic" w:cs="Calibri"/>
          <w:sz w:val="22"/>
          <w:szCs w:val="22"/>
        </w:rPr>
        <w:t>Examples of key dates are:</w:t>
      </w:r>
    </w:p>
    <w:p w14:paraId="26F947CD" w14:textId="77777777" w:rsidR="00AB1666" w:rsidRPr="00D9746E" w:rsidRDefault="00AB1666" w:rsidP="00AB1666">
      <w:pPr>
        <w:rPr>
          <w:rFonts w:ascii="ITC Avant Garde Gothic" w:hAnsi="ITC Avant Garde Gothic" w:cs="Calibri"/>
          <w:sz w:val="22"/>
          <w:szCs w:val="22"/>
        </w:rPr>
      </w:pPr>
      <w:r w:rsidRPr="00D9746E">
        <w:rPr>
          <w:rFonts w:ascii="ITC Avant Garde Gothic" w:hAnsi="ITC Avant Garde Gothic" w:cs="Calibri"/>
          <w:sz w:val="22"/>
          <w:szCs w:val="22"/>
        </w:rPr>
        <w:t> </w:t>
      </w:r>
    </w:p>
    <w:p w14:paraId="26F947CE"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signing and closure dates in contracts</w:t>
      </w:r>
    </w:p>
    <w:p w14:paraId="26F947CF" w14:textId="77777777" w:rsidR="00AB1666" w:rsidRPr="00D9746E" w:rsidRDefault="00AB1666" w:rsidP="00AB1666">
      <w:pPr>
        <w:ind w:left="1080"/>
        <w:rPr>
          <w:rFonts w:ascii="ITC Avant Garde Gothic" w:hAnsi="ITC Avant Garde Gothic" w:cs="Calibri"/>
          <w:sz w:val="22"/>
          <w:szCs w:val="22"/>
        </w:rPr>
      </w:pPr>
    </w:p>
    <w:p w14:paraId="26F947D0"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registration of charges within 21 days of their creation</w:t>
      </w:r>
    </w:p>
    <w:p w14:paraId="26F947D1" w14:textId="77777777" w:rsidR="00AB1666" w:rsidRPr="00D9746E" w:rsidRDefault="00AB1666" w:rsidP="00AB1666">
      <w:pPr>
        <w:ind w:left="1080"/>
        <w:rPr>
          <w:rFonts w:ascii="ITC Avant Garde Gothic" w:hAnsi="ITC Avant Garde Gothic" w:cs="Calibri"/>
          <w:sz w:val="22"/>
          <w:szCs w:val="22"/>
        </w:rPr>
      </w:pPr>
    </w:p>
    <w:p w14:paraId="26F947D2"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payment of stamp duty</w:t>
      </w:r>
    </w:p>
    <w:p w14:paraId="26F947D3" w14:textId="77777777" w:rsidR="00AB1666" w:rsidRPr="00D9746E" w:rsidRDefault="00AB1666" w:rsidP="00AB1666">
      <w:pPr>
        <w:ind w:left="1080"/>
        <w:rPr>
          <w:rFonts w:ascii="ITC Avant Garde Gothic" w:hAnsi="ITC Avant Garde Gothic" w:cs="Calibri"/>
          <w:sz w:val="22"/>
          <w:szCs w:val="22"/>
        </w:rPr>
      </w:pPr>
    </w:p>
    <w:p w14:paraId="26F947D4"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limitations dates</w:t>
      </w:r>
    </w:p>
    <w:p w14:paraId="26F947D5" w14:textId="77777777" w:rsidR="00AB1666" w:rsidRPr="00D9746E" w:rsidRDefault="00AB1666" w:rsidP="00AB1666">
      <w:pPr>
        <w:ind w:left="1080"/>
        <w:rPr>
          <w:rFonts w:ascii="ITC Avant Garde Gothic" w:hAnsi="ITC Avant Garde Gothic" w:cs="Calibri"/>
          <w:sz w:val="22"/>
          <w:szCs w:val="22"/>
        </w:rPr>
      </w:pPr>
    </w:p>
    <w:p w14:paraId="26F947D6"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expiry of periods for bringing warranty claims</w:t>
      </w:r>
    </w:p>
    <w:p w14:paraId="26F947D7" w14:textId="77777777" w:rsidR="00AB1666" w:rsidRPr="00D9746E" w:rsidRDefault="00AB1666" w:rsidP="00AB1666">
      <w:pPr>
        <w:ind w:left="1080"/>
        <w:rPr>
          <w:rFonts w:ascii="ITC Avant Garde Gothic" w:hAnsi="ITC Avant Garde Gothic" w:cs="Calibri"/>
          <w:sz w:val="22"/>
          <w:szCs w:val="22"/>
        </w:rPr>
      </w:pPr>
    </w:p>
    <w:p w14:paraId="26F947D8"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 xml:space="preserve">dates for payment of deferred consideration </w:t>
      </w:r>
    </w:p>
    <w:p w14:paraId="26F947D9" w14:textId="77777777" w:rsidR="00AB1666" w:rsidRPr="00D9746E" w:rsidRDefault="00AB1666" w:rsidP="00AB1666">
      <w:pPr>
        <w:ind w:left="1080"/>
        <w:rPr>
          <w:rFonts w:ascii="ITC Avant Garde Gothic" w:hAnsi="ITC Avant Garde Gothic" w:cs="Calibri"/>
          <w:sz w:val="22"/>
          <w:szCs w:val="22"/>
        </w:rPr>
      </w:pPr>
    </w:p>
    <w:p w14:paraId="26F947DA"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 xml:space="preserve">dates referred to in undertakings </w:t>
      </w:r>
    </w:p>
    <w:p w14:paraId="26F947DB" w14:textId="77777777" w:rsidR="00AB1666" w:rsidRPr="00D9746E" w:rsidRDefault="00AB1666" w:rsidP="00AB1666">
      <w:pPr>
        <w:ind w:left="1080"/>
        <w:rPr>
          <w:rFonts w:ascii="ITC Avant Garde Gothic" w:hAnsi="ITC Avant Garde Gothic" w:cs="Calibri"/>
          <w:sz w:val="22"/>
          <w:szCs w:val="22"/>
        </w:rPr>
      </w:pPr>
    </w:p>
    <w:p w14:paraId="26F947DC" w14:textId="77777777" w:rsidR="00AB1666" w:rsidRPr="00D9746E"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break dates in leases</w:t>
      </w:r>
    </w:p>
    <w:p w14:paraId="26F947DD" w14:textId="77777777" w:rsidR="00AB1666" w:rsidRPr="00D9746E" w:rsidRDefault="00AB1666" w:rsidP="00AB1666">
      <w:pPr>
        <w:ind w:left="1080"/>
        <w:rPr>
          <w:rFonts w:ascii="ITC Avant Garde Gothic" w:hAnsi="ITC Avant Garde Gothic" w:cs="Calibri"/>
          <w:sz w:val="22"/>
          <w:szCs w:val="22"/>
        </w:rPr>
      </w:pPr>
    </w:p>
    <w:p w14:paraId="26F947DE" w14:textId="2D189473" w:rsidR="00AB1666" w:rsidRDefault="00AB1666" w:rsidP="00AB1666">
      <w:pPr>
        <w:numPr>
          <w:ilvl w:val="0"/>
          <w:numId w:val="1"/>
        </w:numPr>
        <w:rPr>
          <w:rFonts w:ascii="ITC Avant Garde Gothic" w:hAnsi="ITC Avant Garde Gothic" w:cs="Calibri"/>
          <w:sz w:val="22"/>
          <w:szCs w:val="22"/>
        </w:rPr>
      </w:pPr>
      <w:r w:rsidRPr="00D9746E">
        <w:rPr>
          <w:rFonts w:ascii="ITC Avant Garde Gothic" w:hAnsi="ITC Avant Garde Gothic" w:cs="Calibri"/>
          <w:sz w:val="22"/>
          <w:szCs w:val="22"/>
        </w:rPr>
        <w:t>court / tribunal deadlines/ hearing dates</w:t>
      </w:r>
    </w:p>
    <w:p w14:paraId="6120095A" w14:textId="77777777" w:rsidR="00205DC9" w:rsidRDefault="00205DC9" w:rsidP="00205DC9">
      <w:pPr>
        <w:pStyle w:val="ListParagraph"/>
        <w:rPr>
          <w:rFonts w:ascii="ITC Avant Garde Gothic" w:hAnsi="ITC Avant Garde Gothic" w:cs="Calibri"/>
          <w:sz w:val="22"/>
          <w:szCs w:val="22"/>
        </w:rPr>
      </w:pPr>
    </w:p>
    <w:p w14:paraId="2303BABF" w14:textId="75563EA9" w:rsidR="00205DC9" w:rsidRPr="003F7CE7" w:rsidRDefault="00205DC9" w:rsidP="00AB1666">
      <w:pPr>
        <w:numPr>
          <w:ilvl w:val="0"/>
          <w:numId w:val="1"/>
        </w:numPr>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 xml:space="preserve">timely delivery of </w:t>
      </w:r>
      <w:r w:rsidR="00287725" w:rsidRPr="003F7CE7">
        <w:rPr>
          <w:rFonts w:ascii="ITC Avant Garde Gothic" w:hAnsi="ITC Avant Garde Gothic" w:cs="Calibri"/>
          <w:color w:val="FF0000"/>
          <w:sz w:val="22"/>
          <w:szCs w:val="22"/>
          <w:u w:val="single"/>
        </w:rPr>
        <w:t xml:space="preserve">a </w:t>
      </w:r>
      <w:proofErr w:type="spellStart"/>
      <w:r w:rsidR="00287725" w:rsidRPr="003F7CE7">
        <w:rPr>
          <w:rFonts w:ascii="ITC Avant Garde Gothic" w:hAnsi="ITC Avant Garde Gothic" w:cs="Calibri"/>
          <w:color w:val="FF0000"/>
          <w:sz w:val="22"/>
          <w:szCs w:val="22"/>
          <w:u w:val="single"/>
        </w:rPr>
        <w:t>defence</w:t>
      </w:r>
      <w:proofErr w:type="spellEnd"/>
      <w:r w:rsidRPr="003F7CE7">
        <w:rPr>
          <w:rFonts w:ascii="ITC Avant Garde Gothic" w:hAnsi="ITC Avant Garde Gothic" w:cs="Calibri"/>
          <w:color w:val="FF0000"/>
          <w:sz w:val="22"/>
          <w:szCs w:val="22"/>
          <w:u w:val="single"/>
        </w:rPr>
        <w:t xml:space="preserve"> in compliance with SI No 490/2021 and SI No 454/2022 –</w:t>
      </w:r>
      <w:r w:rsidR="00287725" w:rsidRPr="003F7CE7">
        <w:rPr>
          <w:rFonts w:ascii="ITC Avant Garde Gothic" w:hAnsi="ITC Avant Garde Gothic" w:cs="Calibri"/>
          <w:color w:val="FF0000"/>
          <w:sz w:val="22"/>
          <w:szCs w:val="22"/>
          <w:u w:val="single"/>
        </w:rPr>
        <w:t xml:space="preserve"> </w:t>
      </w:r>
      <w:r w:rsidRPr="003F7CE7">
        <w:rPr>
          <w:rFonts w:ascii="ITC Avant Garde Gothic" w:hAnsi="ITC Avant Garde Gothic" w:cs="Calibri"/>
          <w:color w:val="FF0000"/>
          <w:sz w:val="22"/>
          <w:szCs w:val="22"/>
          <w:u w:val="single"/>
        </w:rPr>
        <w:t xml:space="preserve">Rules of the Superior Courts (Procedure on Default) - see Appendix A for </w:t>
      </w:r>
      <w:r w:rsidR="00CE1B37" w:rsidRPr="003F7CE7">
        <w:rPr>
          <w:rFonts w:ascii="ITC Avant Garde Gothic" w:hAnsi="ITC Avant Garde Gothic" w:cs="Calibri"/>
          <w:color w:val="FF0000"/>
          <w:sz w:val="22"/>
          <w:szCs w:val="22"/>
          <w:u w:val="single"/>
        </w:rPr>
        <w:t xml:space="preserve">links and </w:t>
      </w:r>
      <w:r w:rsidRPr="003F7CE7">
        <w:rPr>
          <w:rFonts w:ascii="ITC Avant Garde Gothic" w:hAnsi="ITC Avant Garde Gothic" w:cs="Calibri"/>
          <w:color w:val="FF0000"/>
          <w:sz w:val="22"/>
          <w:szCs w:val="22"/>
          <w:u w:val="single"/>
        </w:rPr>
        <w:t>details</w:t>
      </w:r>
    </w:p>
    <w:p w14:paraId="26F947DF" w14:textId="77777777" w:rsidR="00AB1666" w:rsidRPr="00D9746E" w:rsidRDefault="00AB1666" w:rsidP="00AB1666">
      <w:pPr>
        <w:rPr>
          <w:rFonts w:ascii="ITC Avant Garde Gothic" w:hAnsi="ITC Avant Garde Gothic" w:cs="Calibri"/>
          <w:sz w:val="22"/>
          <w:szCs w:val="22"/>
        </w:rPr>
      </w:pPr>
      <w:r w:rsidRPr="00D9746E">
        <w:rPr>
          <w:rFonts w:ascii="ITC Avant Garde Gothic" w:hAnsi="ITC Avant Garde Gothic" w:cs="Calibri"/>
          <w:sz w:val="22"/>
          <w:szCs w:val="22"/>
        </w:rPr>
        <w:t> </w:t>
      </w:r>
    </w:p>
    <w:p w14:paraId="26F947E0" w14:textId="77777777" w:rsidR="00AB1666" w:rsidRPr="003F7CE7" w:rsidRDefault="00AB1666" w:rsidP="00AB1666">
      <w:pPr>
        <w:jc w:val="both"/>
        <w:rPr>
          <w:rFonts w:ascii="ITC Avant Garde Gothic" w:hAnsi="ITC Avant Garde Gothic" w:cs="Calibri"/>
          <w:i/>
          <w:color w:val="FF0000"/>
          <w:sz w:val="22"/>
          <w:szCs w:val="22"/>
        </w:rPr>
      </w:pPr>
      <w:r w:rsidRPr="003F7CE7">
        <w:rPr>
          <w:rFonts w:ascii="ITC Avant Garde Gothic" w:hAnsi="ITC Avant Garde Gothic" w:cs="Calibri"/>
          <w:i/>
          <w:color w:val="FF0000"/>
          <w:sz w:val="22"/>
          <w:szCs w:val="22"/>
        </w:rPr>
        <w:t xml:space="preserve">These are only </w:t>
      </w:r>
      <w:proofErr w:type="gramStart"/>
      <w:r w:rsidRPr="003F7CE7">
        <w:rPr>
          <w:rFonts w:ascii="ITC Avant Garde Gothic" w:hAnsi="ITC Avant Garde Gothic" w:cs="Calibri"/>
          <w:i/>
          <w:color w:val="FF0000"/>
          <w:sz w:val="22"/>
          <w:szCs w:val="22"/>
        </w:rPr>
        <w:t>suggestions</w:t>
      </w:r>
      <w:proofErr w:type="gramEnd"/>
      <w:r w:rsidRPr="003F7CE7">
        <w:rPr>
          <w:rFonts w:ascii="ITC Avant Garde Gothic" w:hAnsi="ITC Avant Garde Gothic" w:cs="Calibri"/>
          <w:i/>
          <w:color w:val="FF0000"/>
          <w:sz w:val="22"/>
          <w:szCs w:val="22"/>
        </w:rPr>
        <w:t xml:space="preserve"> and they will differ depending on the nature of the file.  </w:t>
      </w:r>
    </w:p>
    <w:p w14:paraId="26F947E1" w14:textId="77777777" w:rsidR="00AB1666" w:rsidRPr="003F7CE7" w:rsidRDefault="00AB1666" w:rsidP="00AB1666">
      <w:pPr>
        <w:jc w:val="both"/>
        <w:rPr>
          <w:rFonts w:ascii="ITC Avant Garde Gothic" w:hAnsi="ITC Avant Garde Gothic" w:cs="Calibri"/>
          <w:i/>
          <w:color w:val="FF0000"/>
          <w:sz w:val="22"/>
          <w:szCs w:val="22"/>
        </w:rPr>
      </w:pPr>
    </w:p>
    <w:p w14:paraId="26F947E2" w14:textId="77777777" w:rsidR="00AB1666" w:rsidRPr="003F7CE7" w:rsidRDefault="00AB1666" w:rsidP="00AB1666">
      <w:pPr>
        <w:jc w:val="both"/>
        <w:rPr>
          <w:rFonts w:ascii="ITC Avant Garde Gothic" w:hAnsi="ITC Avant Garde Gothic" w:cs="Calibri"/>
          <w:i/>
          <w:color w:val="FF0000"/>
          <w:sz w:val="22"/>
          <w:szCs w:val="22"/>
        </w:rPr>
      </w:pPr>
      <w:r w:rsidRPr="003F7CE7">
        <w:rPr>
          <w:rFonts w:ascii="ITC Avant Garde Gothic" w:hAnsi="ITC Avant Garde Gothic" w:cs="Calibri"/>
          <w:i/>
          <w:color w:val="FF0000"/>
          <w:sz w:val="22"/>
          <w:szCs w:val="22"/>
        </w:rPr>
        <w:t xml:space="preserve">(NOTE TO FIRM - ONLY LIST THESE CATEGORIES IF THEY ARE BEING RECORDED ON THE REGISTER.  IF NOT, PROVIDE EXPLANATIONS AS TO WHAT OTHER CONTROLS ARE IN PLACE FOR THESE KEY DATES, </w:t>
      </w:r>
      <w:proofErr w:type="gramStart"/>
      <w:r w:rsidRPr="003F7CE7">
        <w:rPr>
          <w:rFonts w:ascii="ITC Avant Garde Gothic" w:hAnsi="ITC Avant Garde Gothic" w:cs="Calibri"/>
          <w:i/>
          <w:color w:val="FF0000"/>
          <w:sz w:val="22"/>
          <w:szCs w:val="22"/>
        </w:rPr>
        <w:t>e.g.</w:t>
      </w:r>
      <w:proofErr w:type="gramEnd"/>
      <w:r w:rsidRPr="003F7CE7">
        <w:rPr>
          <w:rFonts w:ascii="ITC Avant Garde Gothic" w:hAnsi="ITC Avant Garde Gothic" w:cs="Calibri"/>
          <w:i/>
          <w:color w:val="FF0000"/>
          <w:sz w:val="22"/>
          <w:szCs w:val="22"/>
        </w:rPr>
        <w:t xml:space="preserve"> stamping on closing </w:t>
      </w:r>
      <w:proofErr w:type="spellStart"/>
      <w:r w:rsidRPr="003F7CE7">
        <w:rPr>
          <w:rFonts w:ascii="ITC Avant Garde Gothic" w:hAnsi="ITC Avant Garde Gothic" w:cs="Calibri"/>
          <w:i/>
          <w:color w:val="FF0000"/>
          <w:sz w:val="22"/>
          <w:szCs w:val="22"/>
        </w:rPr>
        <w:t>etc</w:t>
      </w:r>
      <w:proofErr w:type="spellEnd"/>
      <w:r w:rsidRPr="003F7CE7">
        <w:rPr>
          <w:rFonts w:ascii="ITC Avant Garde Gothic" w:hAnsi="ITC Avant Garde Gothic" w:cs="Calibri"/>
          <w:i/>
          <w:color w:val="FF0000"/>
          <w:sz w:val="22"/>
          <w:szCs w:val="22"/>
        </w:rPr>
        <w:t>)</w:t>
      </w:r>
    </w:p>
    <w:p w14:paraId="26F947E6" w14:textId="28D05E58" w:rsidR="00AB1666" w:rsidRPr="00D9746E" w:rsidRDefault="00AB1666" w:rsidP="00AB1666">
      <w:pPr>
        <w:rPr>
          <w:rFonts w:ascii="ITC Avant Garde Gothic" w:hAnsi="ITC Avant Garde Gothic" w:cs="Calibri"/>
          <w:sz w:val="22"/>
          <w:szCs w:val="22"/>
        </w:rPr>
      </w:pPr>
    </w:p>
    <w:p w14:paraId="26F947E7" w14:textId="77777777" w:rsidR="00AB1666" w:rsidRPr="00D9746E" w:rsidRDefault="00AB1666" w:rsidP="00AB1666">
      <w:pPr>
        <w:rPr>
          <w:rFonts w:ascii="ITC Avant Garde Gothic" w:hAnsi="ITC Avant Garde Gothic" w:cs="Calibri"/>
          <w:sz w:val="22"/>
          <w:szCs w:val="22"/>
        </w:rPr>
      </w:pPr>
      <w:r w:rsidRPr="00D9746E">
        <w:rPr>
          <w:rFonts w:ascii="ITC Avant Garde Gothic" w:hAnsi="ITC Avant Garde Gothic" w:cs="Calibri"/>
          <w:b/>
          <w:bCs/>
          <w:sz w:val="22"/>
          <w:szCs w:val="22"/>
        </w:rPr>
        <w:t>Procedure</w:t>
      </w:r>
    </w:p>
    <w:p w14:paraId="26F947E8" w14:textId="77777777" w:rsidR="00AB1666" w:rsidRPr="00D9746E" w:rsidRDefault="00AB1666" w:rsidP="00AB1666">
      <w:pPr>
        <w:rPr>
          <w:rFonts w:ascii="ITC Avant Garde Gothic" w:hAnsi="ITC Avant Garde Gothic" w:cs="Calibri"/>
          <w:sz w:val="22"/>
          <w:szCs w:val="22"/>
        </w:rPr>
      </w:pPr>
      <w:r w:rsidRPr="00D9746E">
        <w:rPr>
          <w:rFonts w:ascii="ITC Avant Garde Gothic" w:hAnsi="ITC Avant Garde Gothic" w:cs="Calibri"/>
          <w:b/>
          <w:bCs/>
          <w:sz w:val="22"/>
          <w:szCs w:val="22"/>
        </w:rPr>
        <w:t> </w:t>
      </w:r>
    </w:p>
    <w:p w14:paraId="26F947E9" w14:textId="77777777" w:rsidR="00AB1666" w:rsidRPr="00F46F7B" w:rsidRDefault="00AB1666" w:rsidP="00AB1666">
      <w:pPr>
        <w:jc w:val="both"/>
        <w:rPr>
          <w:rFonts w:ascii="ITC Avant Garde Gothic" w:hAnsi="ITC Avant Garde Gothic" w:cs="Calibri"/>
          <w:sz w:val="22"/>
          <w:szCs w:val="22"/>
        </w:rPr>
      </w:pPr>
      <w:r w:rsidRPr="00D9746E">
        <w:rPr>
          <w:rFonts w:ascii="ITC Avant Garde Gothic" w:hAnsi="ITC Avant Garde Gothic" w:cs="Calibri"/>
          <w:sz w:val="22"/>
          <w:szCs w:val="22"/>
        </w:rPr>
        <w:t xml:space="preserve">On receiving notification of a relevant time limit or on completion of any transaction you must </w:t>
      </w:r>
      <w:r w:rsidRPr="00F46F7B">
        <w:rPr>
          <w:rFonts w:ascii="ITC Avant Garde Gothic" w:hAnsi="ITC Avant Garde Gothic" w:cs="Calibri"/>
          <w:sz w:val="22"/>
          <w:szCs w:val="22"/>
        </w:rPr>
        <w:t xml:space="preserve">notify </w:t>
      </w:r>
      <w:r w:rsidRPr="003F7CE7">
        <w:rPr>
          <w:rFonts w:ascii="ITC Avant Garde Gothic" w:hAnsi="ITC Avant Garde Gothic" w:cs="Calibri"/>
          <w:color w:val="FF0000"/>
          <w:sz w:val="22"/>
          <w:szCs w:val="22"/>
        </w:rPr>
        <w:t>[</w:t>
      </w:r>
      <w:r w:rsidRPr="003F7CE7">
        <w:rPr>
          <w:rFonts w:ascii="ITC Avant Garde Gothic" w:hAnsi="ITC Avant Garde Gothic" w:cs="Calibri"/>
          <w:i/>
          <w:color w:val="FF0000"/>
          <w:sz w:val="22"/>
          <w:szCs w:val="22"/>
        </w:rPr>
        <w:t>name of employee</w:t>
      </w:r>
      <w:r w:rsidRPr="003F7CE7">
        <w:rPr>
          <w:rFonts w:ascii="ITC Avant Garde Gothic" w:hAnsi="ITC Avant Garde Gothic" w:cs="Calibri"/>
          <w:color w:val="FF0000"/>
          <w:sz w:val="22"/>
          <w:szCs w:val="22"/>
        </w:rPr>
        <w:t xml:space="preserve">] </w:t>
      </w:r>
      <w:r w:rsidRPr="00F46F7B">
        <w:rPr>
          <w:rFonts w:ascii="ITC Avant Garde Gothic" w:hAnsi="ITC Avant Garde Gothic" w:cs="Calibri"/>
          <w:sz w:val="22"/>
          <w:szCs w:val="22"/>
        </w:rPr>
        <w:t>of any relevant key date. [</w:t>
      </w:r>
      <w:r w:rsidRPr="00F46F7B">
        <w:rPr>
          <w:rFonts w:ascii="ITC Avant Garde Gothic" w:hAnsi="ITC Avant Garde Gothic" w:cs="Calibri"/>
          <w:i/>
          <w:sz w:val="22"/>
          <w:szCs w:val="22"/>
        </w:rPr>
        <w:t>Name of employee</w:t>
      </w:r>
      <w:r w:rsidRPr="00F46F7B">
        <w:rPr>
          <w:rFonts w:ascii="ITC Avant Garde Gothic" w:hAnsi="ITC Avant Garde Gothic" w:cs="Calibri"/>
          <w:sz w:val="22"/>
          <w:szCs w:val="22"/>
        </w:rPr>
        <w:t xml:space="preserve">] will maintain the register and will remind you to complete the relevant task before the expiry of the notified time limit. </w:t>
      </w:r>
    </w:p>
    <w:p w14:paraId="26F947EA" w14:textId="77777777" w:rsidR="00AB1666" w:rsidRPr="00F46F7B" w:rsidRDefault="00AB1666" w:rsidP="00AB1666">
      <w:pPr>
        <w:jc w:val="both"/>
        <w:rPr>
          <w:rFonts w:ascii="ITC Avant Garde Gothic" w:hAnsi="ITC Avant Garde Gothic" w:cs="Calibri"/>
          <w:sz w:val="22"/>
          <w:szCs w:val="22"/>
        </w:rPr>
      </w:pPr>
    </w:p>
    <w:p w14:paraId="26F947EB" w14:textId="77777777" w:rsidR="00AB1666" w:rsidRPr="003F7CE7" w:rsidRDefault="00AB1666" w:rsidP="00AB1666">
      <w:pPr>
        <w:jc w:val="both"/>
        <w:rPr>
          <w:rFonts w:ascii="ITC Avant Garde Gothic" w:hAnsi="ITC Avant Garde Gothic" w:cs="Calibri"/>
          <w:i/>
          <w:color w:val="FF0000"/>
          <w:sz w:val="22"/>
          <w:szCs w:val="22"/>
        </w:rPr>
      </w:pPr>
      <w:r w:rsidRPr="00F46F7B">
        <w:rPr>
          <w:rFonts w:ascii="ITC Avant Garde Gothic" w:hAnsi="ITC Avant Garde Gothic" w:cs="Calibri"/>
          <w:sz w:val="22"/>
          <w:szCs w:val="22"/>
        </w:rPr>
        <w:t xml:space="preserve">Files that are subject to key dates will have a label placed on the cover of the file so it can be seen </w:t>
      </w:r>
      <w:proofErr w:type="gramStart"/>
      <w:r w:rsidRPr="00F46F7B">
        <w:rPr>
          <w:rFonts w:ascii="ITC Avant Garde Gothic" w:hAnsi="ITC Avant Garde Gothic" w:cs="Calibri"/>
          <w:sz w:val="22"/>
          <w:szCs w:val="22"/>
        </w:rPr>
        <w:t>at a glance</w:t>
      </w:r>
      <w:proofErr w:type="gramEnd"/>
      <w:r w:rsidRPr="00F46F7B">
        <w:rPr>
          <w:rFonts w:ascii="ITC Avant Garde Gothic" w:hAnsi="ITC Avant Garde Gothic" w:cs="Calibri"/>
          <w:sz w:val="22"/>
          <w:szCs w:val="22"/>
        </w:rPr>
        <w:t xml:space="preserve"> that there are key dates involved.  The key date is also to be noted on the File Opening Form and entered on the Case Management System.  Fee earners will update their own personal diaries and make a backup entry in the central diary (either manual or computerized). </w:t>
      </w:r>
      <w:r w:rsidRPr="003F7CE7">
        <w:rPr>
          <w:rFonts w:ascii="ITC Avant Garde Gothic" w:hAnsi="ITC Avant Garde Gothic" w:cs="Calibri"/>
          <w:color w:val="FF0000"/>
          <w:sz w:val="22"/>
          <w:szCs w:val="22"/>
        </w:rPr>
        <w:t>[</w:t>
      </w:r>
      <w:r w:rsidRPr="003F7CE7">
        <w:rPr>
          <w:rFonts w:ascii="ITC Avant Garde Gothic" w:hAnsi="ITC Avant Garde Gothic" w:cs="Calibri"/>
          <w:i/>
          <w:color w:val="FF0000"/>
          <w:sz w:val="22"/>
          <w:szCs w:val="22"/>
        </w:rPr>
        <w:t>Amend this paragraph to reflect the firm’s actual procedures] </w:t>
      </w:r>
    </w:p>
    <w:p w14:paraId="26F947EC" w14:textId="77777777" w:rsidR="00AB1666" w:rsidRPr="00F46F7B" w:rsidRDefault="00AB1666" w:rsidP="00AB1666">
      <w:pPr>
        <w:jc w:val="both"/>
        <w:rPr>
          <w:rFonts w:ascii="ITC Avant Garde Gothic" w:hAnsi="ITC Avant Garde Gothic" w:cs="Calibri"/>
          <w:sz w:val="22"/>
          <w:szCs w:val="22"/>
        </w:rPr>
      </w:pPr>
    </w:p>
    <w:p w14:paraId="26F947ED" w14:textId="77777777" w:rsidR="00AB1666" w:rsidRPr="00F46F7B" w:rsidRDefault="00AB1666" w:rsidP="00AB1666">
      <w:pPr>
        <w:jc w:val="both"/>
        <w:rPr>
          <w:rFonts w:ascii="ITC Avant Garde Gothic" w:hAnsi="ITC Avant Garde Gothic" w:cs="Calibri"/>
          <w:sz w:val="22"/>
          <w:szCs w:val="22"/>
        </w:rPr>
      </w:pPr>
      <w:r w:rsidRPr="00F46F7B">
        <w:rPr>
          <w:rFonts w:ascii="ITC Avant Garde Gothic" w:hAnsi="ITC Avant Garde Gothic" w:cs="Calibri"/>
          <w:sz w:val="22"/>
          <w:szCs w:val="22"/>
        </w:rPr>
        <w:t xml:space="preserve">When more than one fee earner is dealing with a matter involving key dates you must agree between yourselves who will prepare the relevant information and identify who should receive the appropriate reminder.  You must provide </w:t>
      </w:r>
      <w:r w:rsidRPr="003F7CE7">
        <w:rPr>
          <w:rFonts w:ascii="ITC Avant Garde Gothic" w:hAnsi="ITC Avant Garde Gothic" w:cs="Calibri"/>
          <w:color w:val="FF0000"/>
          <w:sz w:val="22"/>
          <w:szCs w:val="22"/>
        </w:rPr>
        <w:t>[</w:t>
      </w:r>
      <w:r w:rsidRPr="003F7CE7">
        <w:rPr>
          <w:rFonts w:ascii="ITC Avant Garde Gothic" w:hAnsi="ITC Avant Garde Gothic" w:cs="Calibri"/>
          <w:i/>
          <w:color w:val="FF0000"/>
          <w:sz w:val="22"/>
          <w:szCs w:val="22"/>
        </w:rPr>
        <w:t>name of employee</w:t>
      </w:r>
      <w:r w:rsidRPr="003F7CE7">
        <w:rPr>
          <w:rFonts w:ascii="ITC Avant Garde Gothic" w:hAnsi="ITC Avant Garde Gothic" w:cs="Calibri"/>
          <w:color w:val="FF0000"/>
          <w:sz w:val="22"/>
          <w:szCs w:val="22"/>
        </w:rPr>
        <w:t xml:space="preserve">] </w:t>
      </w:r>
      <w:r w:rsidRPr="00F46F7B">
        <w:rPr>
          <w:rFonts w:ascii="ITC Avant Garde Gothic" w:hAnsi="ITC Avant Garde Gothic" w:cs="Calibri"/>
          <w:sz w:val="22"/>
          <w:szCs w:val="22"/>
        </w:rPr>
        <w:t>with:</w:t>
      </w:r>
    </w:p>
    <w:p w14:paraId="26F947EE" w14:textId="77777777" w:rsidR="00AB1666" w:rsidRPr="00F46F7B" w:rsidRDefault="00AB1666" w:rsidP="00AB1666">
      <w:pPr>
        <w:jc w:val="both"/>
        <w:rPr>
          <w:rFonts w:ascii="ITC Avant Garde Gothic" w:hAnsi="ITC Avant Garde Gothic" w:cs="Calibri"/>
          <w:sz w:val="22"/>
          <w:szCs w:val="22"/>
        </w:rPr>
      </w:pPr>
      <w:r w:rsidRPr="00F46F7B">
        <w:rPr>
          <w:rFonts w:ascii="ITC Avant Garde Gothic" w:hAnsi="ITC Avant Garde Gothic" w:cs="Calibri"/>
          <w:sz w:val="22"/>
          <w:szCs w:val="22"/>
        </w:rPr>
        <w:t> </w:t>
      </w:r>
    </w:p>
    <w:p w14:paraId="26F947EF" w14:textId="77777777" w:rsidR="00AB1666" w:rsidRPr="00F46F7B" w:rsidRDefault="00AB1666" w:rsidP="00AB1666">
      <w:pPr>
        <w:numPr>
          <w:ilvl w:val="0"/>
          <w:numId w:val="2"/>
        </w:numPr>
        <w:rPr>
          <w:rFonts w:ascii="ITC Avant Garde Gothic" w:hAnsi="ITC Avant Garde Gothic" w:cs="Calibri"/>
          <w:sz w:val="22"/>
          <w:szCs w:val="22"/>
        </w:rPr>
      </w:pPr>
      <w:r w:rsidRPr="00F46F7B">
        <w:rPr>
          <w:rFonts w:ascii="ITC Avant Garde Gothic" w:hAnsi="ITC Avant Garde Gothic" w:cs="Calibri"/>
          <w:sz w:val="22"/>
          <w:szCs w:val="22"/>
        </w:rPr>
        <w:t xml:space="preserve">The file </w:t>
      </w:r>
      <w:proofErr w:type="gramStart"/>
      <w:r w:rsidRPr="00F46F7B">
        <w:rPr>
          <w:rFonts w:ascii="ITC Avant Garde Gothic" w:hAnsi="ITC Avant Garde Gothic" w:cs="Calibri"/>
          <w:sz w:val="22"/>
          <w:szCs w:val="22"/>
        </w:rPr>
        <w:t>number</w:t>
      </w:r>
      <w:proofErr w:type="gramEnd"/>
    </w:p>
    <w:p w14:paraId="26F947F0" w14:textId="77777777" w:rsidR="00AB1666" w:rsidRPr="00F46F7B" w:rsidRDefault="00AB1666" w:rsidP="00AB1666">
      <w:pPr>
        <w:rPr>
          <w:rFonts w:ascii="ITC Avant Garde Gothic" w:hAnsi="ITC Avant Garde Gothic" w:cs="Calibri"/>
          <w:sz w:val="22"/>
          <w:szCs w:val="22"/>
        </w:rPr>
      </w:pPr>
    </w:p>
    <w:p w14:paraId="26F947F1" w14:textId="77777777" w:rsidR="00AB1666" w:rsidRPr="00F46F7B" w:rsidRDefault="00AB1666" w:rsidP="00AB1666">
      <w:pPr>
        <w:numPr>
          <w:ilvl w:val="0"/>
          <w:numId w:val="2"/>
        </w:numPr>
        <w:rPr>
          <w:rFonts w:ascii="ITC Avant Garde Gothic" w:hAnsi="ITC Avant Garde Gothic" w:cs="Calibri"/>
          <w:sz w:val="22"/>
          <w:szCs w:val="22"/>
        </w:rPr>
      </w:pPr>
      <w:r w:rsidRPr="00F46F7B">
        <w:rPr>
          <w:rFonts w:ascii="ITC Avant Garde Gothic" w:hAnsi="ITC Avant Garde Gothic" w:cs="Calibri"/>
          <w:sz w:val="22"/>
          <w:szCs w:val="22"/>
        </w:rPr>
        <w:t xml:space="preserve">The client </w:t>
      </w:r>
      <w:proofErr w:type="gramStart"/>
      <w:r w:rsidRPr="00F46F7B">
        <w:rPr>
          <w:rFonts w:ascii="ITC Avant Garde Gothic" w:hAnsi="ITC Avant Garde Gothic" w:cs="Calibri"/>
          <w:sz w:val="22"/>
          <w:szCs w:val="22"/>
        </w:rPr>
        <w:t>number</w:t>
      </w:r>
      <w:proofErr w:type="gramEnd"/>
    </w:p>
    <w:p w14:paraId="26F947F2" w14:textId="77777777" w:rsidR="00AB1666" w:rsidRPr="00F46F7B" w:rsidRDefault="00AB1666" w:rsidP="00AB1666">
      <w:pPr>
        <w:rPr>
          <w:rFonts w:ascii="ITC Avant Garde Gothic" w:hAnsi="ITC Avant Garde Gothic" w:cs="Calibri"/>
          <w:sz w:val="22"/>
          <w:szCs w:val="22"/>
        </w:rPr>
      </w:pPr>
    </w:p>
    <w:p w14:paraId="26F947F3" w14:textId="77777777" w:rsidR="00AB1666" w:rsidRPr="00D9746E" w:rsidRDefault="00AB1666" w:rsidP="00AB1666">
      <w:pPr>
        <w:numPr>
          <w:ilvl w:val="0"/>
          <w:numId w:val="2"/>
        </w:numPr>
        <w:rPr>
          <w:rFonts w:ascii="ITC Avant Garde Gothic" w:hAnsi="ITC Avant Garde Gothic" w:cs="Calibri"/>
          <w:sz w:val="22"/>
          <w:szCs w:val="22"/>
        </w:rPr>
      </w:pPr>
      <w:r w:rsidRPr="00D9746E">
        <w:rPr>
          <w:rFonts w:ascii="ITC Avant Garde Gothic" w:hAnsi="ITC Avant Garde Gothic" w:cs="Calibri"/>
          <w:sz w:val="22"/>
          <w:szCs w:val="22"/>
        </w:rPr>
        <w:t>The matter description</w:t>
      </w:r>
    </w:p>
    <w:p w14:paraId="26F947F4" w14:textId="77777777" w:rsidR="00AB1666" w:rsidRPr="00D9746E" w:rsidRDefault="00AB1666" w:rsidP="00AB1666">
      <w:pPr>
        <w:rPr>
          <w:rFonts w:ascii="ITC Avant Garde Gothic" w:hAnsi="ITC Avant Garde Gothic" w:cs="Calibri"/>
          <w:sz w:val="22"/>
          <w:szCs w:val="22"/>
        </w:rPr>
      </w:pPr>
    </w:p>
    <w:p w14:paraId="26F947F5" w14:textId="77777777" w:rsidR="00AB1666" w:rsidRPr="00D9746E" w:rsidRDefault="00AB1666" w:rsidP="00AB1666">
      <w:pPr>
        <w:numPr>
          <w:ilvl w:val="0"/>
          <w:numId w:val="2"/>
        </w:numPr>
        <w:rPr>
          <w:rFonts w:ascii="ITC Avant Garde Gothic" w:hAnsi="ITC Avant Garde Gothic" w:cs="Calibri"/>
          <w:sz w:val="22"/>
          <w:szCs w:val="22"/>
        </w:rPr>
      </w:pPr>
      <w:r w:rsidRPr="00D9746E">
        <w:rPr>
          <w:rFonts w:ascii="ITC Avant Garde Gothic" w:hAnsi="ITC Avant Garde Gothic" w:cs="Calibri"/>
          <w:sz w:val="22"/>
          <w:szCs w:val="22"/>
        </w:rPr>
        <w:t>The event giving rise to the key date</w:t>
      </w:r>
    </w:p>
    <w:p w14:paraId="26F947F6" w14:textId="77777777" w:rsidR="00AB1666" w:rsidRPr="00D9746E" w:rsidRDefault="00AB1666" w:rsidP="00AB1666">
      <w:pPr>
        <w:rPr>
          <w:rFonts w:ascii="ITC Avant Garde Gothic" w:hAnsi="ITC Avant Garde Gothic" w:cs="Calibri"/>
          <w:sz w:val="22"/>
          <w:szCs w:val="22"/>
        </w:rPr>
      </w:pPr>
    </w:p>
    <w:p w14:paraId="26F947F7" w14:textId="77777777" w:rsidR="00AB1666" w:rsidRPr="00D9746E" w:rsidRDefault="00AB1666" w:rsidP="00AB1666">
      <w:pPr>
        <w:numPr>
          <w:ilvl w:val="0"/>
          <w:numId w:val="2"/>
        </w:numPr>
        <w:rPr>
          <w:rFonts w:ascii="ITC Avant Garde Gothic" w:hAnsi="ITC Avant Garde Gothic" w:cs="Calibri"/>
          <w:sz w:val="22"/>
          <w:szCs w:val="22"/>
        </w:rPr>
      </w:pPr>
      <w:r w:rsidRPr="00D9746E">
        <w:rPr>
          <w:rFonts w:ascii="ITC Avant Garde Gothic" w:hAnsi="ITC Avant Garde Gothic" w:cs="Calibri"/>
          <w:sz w:val="22"/>
          <w:szCs w:val="22"/>
        </w:rPr>
        <w:t>The key date</w:t>
      </w:r>
    </w:p>
    <w:p w14:paraId="26F947F8" w14:textId="77777777" w:rsidR="00AB1666" w:rsidRPr="00D9746E" w:rsidRDefault="00AB1666" w:rsidP="00AB1666">
      <w:pPr>
        <w:rPr>
          <w:rFonts w:ascii="ITC Avant Garde Gothic" w:hAnsi="ITC Avant Garde Gothic" w:cs="Calibri"/>
          <w:sz w:val="22"/>
          <w:szCs w:val="22"/>
        </w:rPr>
      </w:pPr>
    </w:p>
    <w:p w14:paraId="26F947F9" w14:textId="77777777" w:rsidR="00AB1666" w:rsidRPr="00D9746E" w:rsidRDefault="00AB1666" w:rsidP="00AB1666">
      <w:pPr>
        <w:numPr>
          <w:ilvl w:val="0"/>
          <w:numId w:val="2"/>
        </w:numPr>
        <w:rPr>
          <w:rFonts w:ascii="ITC Avant Garde Gothic" w:hAnsi="ITC Avant Garde Gothic" w:cs="Calibri"/>
          <w:sz w:val="22"/>
          <w:szCs w:val="22"/>
        </w:rPr>
      </w:pPr>
      <w:r w:rsidRPr="00D9746E">
        <w:rPr>
          <w:rFonts w:ascii="ITC Avant Garde Gothic" w:hAnsi="ITC Avant Garde Gothic" w:cs="Calibri"/>
          <w:sz w:val="22"/>
          <w:szCs w:val="22"/>
        </w:rPr>
        <w:t>The date on which you would like to be reminded of the forthcoming key date.</w:t>
      </w:r>
    </w:p>
    <w:p w14:paraId="26F947FA" w14:textId="77777777" w:rsidR="00AB1666" w:rsidRPr="00D9746E" w:rsidRDefault="00AB1666" w:rsidP="00AB1666">
      <w:pPr>
        <w:rPr>
          <w:rFonts w:ascii="ITC Avant Garde Gothic" w:hAnsi="ITC Avant Garde Gothic" w:cs="Calibri"/>
          <w:sz w:val="22"/>
          <w:szCs w:val="22"/>
        </w:rPr>
      </w:pPr>
    </w:p>
    <w:p w14:paraId="26F947FB" w14:textId="0A02FBD2" w:rsidR="00AB1666" w:rsidRPr="003F7CE7" w:rsidRDefault="00AB1666" w:rsidP="00AB1666">
      <w:pPr>
        <w:rPr>
          <w:rFonts w:ascii="ITC Avant Garde Gothic" w:hAnsi="ITC Avant Garde Gothic" w:cs="Calibri"/>
          <w:i/>
          <w:color w:val="FF0000"/>
          <w:sz w:val="22"/>
          <w:szCs w:val="22"/>
        </w:rPr>
      </w:pPr>
      <w:r w:rsidRPr="003F7CE7">
        <w:rPr>
          <w:rFonts w:ascii="ITC Avant Garde Gothic" w:hAnsi="ITC Avant Garde Gothic" w:cs="Calibri"/>
          <w:i/>
          <w:color w:val="FF0000"/>
          <w:sz w:val="22"/>
          <w:szCs w:val="22"/>
        </w:rPr>
        <w:t>[Firms should insert a paragraph to indicate how they deal with key dates and absenteeism here or refer to their policy on absenteeism and workload distribution plan dealing with same.</w:t>
      </w:r>
      <w:r w:rsidR="00156980" w:rsidRPr="003F7CE7">
        <w:rPr>
          <w:rFonts w:ascii="ITC Avant Garde Gothic" w:hAnsi="ITC Avant Garde Gothic" w:cs="Calibri"/>
          <w:i/>
          <w:color w:val="FF0000"/>
          <w:sz w:val="22"/>
          <w:szCs w:val="22"/>
        </w:rPr>
        <w:t xml:space="preserve">  There should be a clear procedure for monitoring key dates when staff are working remotely</w:t>
      </w:r>
      <w:r w:rsidRPr="003F7CE7">
        <w:rPr>
          <w:rFonts w:ascii="ITC Avant Garde Gothic" w:hAnsi="ITC Avant Garde Gothic" w:cs="Calibri"/>
          <w:i/>
          <w:color w:val="FF0000"/>
          <w:sz w:val="22"/>
          <w:szCs w:val="22"/>
        </w:rPr>
        <w:t>]</w:t>
      </w:r>
    </w:p>
    <w:p w14:paraId="26F947FC" w14:textId="77777777" w:rsidR="00AB1666" w:rsidRPr="00E06D0B" w:rsidRDefault="00AB1666" w:rsidP="00AB1666">
      <w:pPr>
        <w:rPr>
          <w:rFonts w:ascii="ITC Avant Garde Gothic" w:hAnsi="ITC Avant Garde Gothic" w:cs="Calibri"/>
          <w:sz w:val="22"/>
          <w:szCs w:val="22"/>
        </w:rPr>
      </w:pPr>
    </w:p>
    <w:p w14:paraId="26F947FD" w14:textId="77777777" w:rsidR="00AB1666" w:rsidRPr="00D9746E" w:rsidRDefault="00AB1666" w:rsidP="00AB1666">
      <w:pPr>
        <w:jc w:val="both"/>
        <w:rPr>
          <w:rFonts w:ascii="ITC Avant Garde Gothic" w:hAnsi="ITC Avant Garde Gothic" w:cs="Calibri"/>
          <w:sz w:val="22"/>
          <w:szCs w:val="22"/>
        </w:rPr>
      </w:pPr>
      <w:r w:rsidRPr="00D9746E">
        <w:rPr>
          <w:rFonts w:ascii="ITC Avant Garde Gothic" w:hAnsi="ITC Avant Garde Gothic" w:cs="Calibri"/>
          <w:sz w:val="22"/>
          <w:szCs w:val="22"/>
        </w:rPr>
        <w:t>The importance of the key date register cannot be overstated. A failure to record a key date will have an impact on the firm’s risk management policy and may result in disciplinary action being taken against you.</w:t>
      </w:r>
    </w:p>
    <w:p w14:paraId="26F947FE" w14:textId="77777777" w:rsidR="00AB1666" w:rsidRPr="001000B6" w:rsidRDefault="00AB1666" w:rsidP="00AB1666">
      <w:pPr>
        <w:jc w:val="both"/>
        <w:rPr>
          <w:rFonts w:ascii="ITC Avant Garde Gothic" w:hAnsi="ITC Avant Garde Gothic" w:cs="Calibri"/>
          <w:sz w:val="22"/>
          <w:szCs w:val="22"/>
        </w:rPr>
      </w:pPr>
      <w:r w:rsidRPr="001000B6">
        <w:rPr>
          <w:rFonts w:ascii="ITC Avant Garde Gothic" w:hAnsi="ITC Avant Garde Gothic" w:cs="Calibri"/>
          <w:sz w:val="22"/>
          <w:szCs w:val="22"/>
        </w:rPr>
        <w:t> </w:t>
      </w:r>
    </w:p>
    <w:p w14:paraId="26F947FF" w14:textId="77777777" w:rsidR="00AB1666" w:rsidRPr="004F4E17" w:rsidRDefault="00AB1666" w:rsidP="00AB1666">
      <w:pPr>
        <w:rPr>
          <w:rFonts w:ascii="ITC Avant Garde Gothic" w:hAnsi="ITC Avant Garde Gothic" w:cs="Calibri"/>
          <w:iCs/>
        </w:rPr>
      </w:pPr>
    </w:p>
    <w:p w14:paraId="26F94800" w14:textId="77777777" w:rsidR="00AB1666" w:rsidRPr="004F4E17" w:rsidRDefault="00AB1666" w:rsidP="00AB1666">
      <w:pPr>
        <w:rPr>
          <w:rFonts w:ascii="ITC Avant Garde Gothic" w:hAnsi="ITC Avant Garde Gothic" w:cs="Calibri"/>
          <w:b/>
          <w:iCs/>
          <w:sz w:val="26"/>
          <w:szCs w:val="26"/>
        </w:rPr>
      </w:pPr>
      <w:r w:rsidRPr="004F4E17">
        <w:rPr>
          <w:rFonts w:ascii="ITC Avant Garde Gothic" w:hAnsi="ITC Avant Garde Gothic" w:cs="Calibri"/>
          <w:b/>
          <w:iCs/>
          <w:sz w:val="26"/>
          <w:szCs w:val="26"/>
        </w:rPr>
        <w:t>Signed:</w:t>
      </w:r>
    </w:p>
    <w:p w14:paraId="26F94801" w14:textId="77777777" w:rsidR="00AB1666" w:rsidRPr="004F4E17" w:rsidRDefault="00AB1666" w:rsidP="00AB1666">
      <w:pPr>
        <w:rPr>
          <w:rFonts w:ascii="ITC Avant Garde Gothic" w:hAnsi="ITC Avant Garde Gothic" w:cs="Calibri"/>
          <w:b/>
          <w:iCs/>
          <w:sz w:val="26"/>
          <w:szCs w:val="26"/>
        </w:rPr>
      </w:pPr>
    </w:p>
    <w:p w14:paraId="26F94802" w14:textId="77777777" w:rsidR="00AB1666" w:rsidRPr="004F4E17" w:rsidRDefault="00AB1666" w:rsidP="00AB1666">
      <w:pPr>
        <w:rPr>
          <w:rFonts w:ascii="ITC Avant Garde Gothic" w:hAnsi="ITC Avant Garde Gothic" w:cs="Calibri"/>
          <w:b/>
          <w:iCs/>
          <w:sz w:val="26"/>
          <w:szCs w:val="26"/>
        </w:rPr>
      </w:pPr>
      <w:r w:rsidRPr="004F4E17">
        <w:rPr>
          <w:rFonts w:ascii="ITC Avant Garde Gothic" w:hAnsi="ITC Avant Garde Gothic" w:cs="Calibri"/>
          <w:b/>
          <w:iCs/>
          <w:sz w:val="26"/>
          <w:szCs w:val="26"/>
        </w:rPr>
        <w:t>Date:</w:t>
      </w:r>
    </w:p>
    <w:p w14:paraId="26F94803" w14:textId="77777777" w:rsidR="00AB1666" w:rsidRPr="004F4E17" w:rsidRDefault="00AB1666" w:rsidP="00AB1666">
      <w:pPr>
        <w:rPr>
          <w:rFonts w:ascii="ITC Avant Garde Gothic" w:hAnsi="ITC Avant Garde Gothic" w:cs="Calibri"/>
          <w:b/>
          <w:iCs/>
          <w:sz w:val="26"/>
          <w:szCs w:val="26"/>
        </w:rPr>
      </w:pPr>
    </w:p>
    <w:p w14:paraId="5AB264ED" w14:textId="6D31CED6" w:rsidR="00CB333F" w:rsidRDefault="00E06D0B" w:rsidP="00E62334">
      <w:pPr>
        <w:rPr>
          <w:rFonts w:ascii="ITC Avant Garde Gothic" w:hAnsi="ITC Avant Garde Gothic" w:cs="Calibri"/>
          <w:b/>
          <w:iCs/>
          <w:sz w:val="26"/>
          <w:szCs w:val="26"/>
        </w:rPr>
      </w:pPr>
      <w:r>
        <w:rPr>
          <w:rFonts w:ascii="ITC Avant Garde Gothic" w:hAnsi="ITC Avant Garde Gothic" w:cs="Calibri"/>
          <w:b/>
          <w:iCs/>
          <w:sz w:val="26"/>
          <w:szCs w:val="26"/>
        </w:rPr>
        <w:t>Date of next review:</w:t>
      </w:r>
    </w:p>
    <w:p w14:paraId="33D6236C" w14:textId="3919C3AC" w:rsidR="00CB333F" w:rsidRDefault="00CB333F" w:rsidP="00E62334">
      <w:pPr>
        <w:rPr>
          <w:rFonts w:ascii="ITC Avant Garde Gothic" w:hAnsi="ITC Avant Garde Gothic" w:cs="Calibri"/>
          <w:b/>
          <w:iCs/>
          <w:sz w:val="26"/>
          <w:szCs w:val="26"/>
        </w:rPr>
      </w:pPr>
    </w:p>
    <w:p w14:paraId="46896CC9" w14:textId="75006EE7" w:rsidR="00CB333F" w:rsidRDefault="00CB333F" w:rsidP="00E62334">
      <w:pPr>
        <w:rPr>
          <w:rFonts w:ascii="ITC Avant Garde Gothic" w:hAnsi="ITC Avant Garde Gothic" w:cs="Calibri"/>
          <w:b/>
          <w:iCs/>
          <w:sz w:val="26"/>
          <w:szCs w:val="26"/>
        </w:rPr>
      </w:pPr>
    </w:p>
    <w:p w14:paraId="573B86AD" w14:textId="77006D10" w:rsidR="520F925A" w:rsidRDefault="520F925A" w:rsidP="520F925A">
      <w:pPr>
        <w:jc w:val="center"/>
        <w:rPr>
          <w:rFonts w:ascii="ITC Avant Garde Gothic" w:hAnsi="ITC Avant Garde Gothic" w:cs="Calibri"/>
          <w:b/>
          <w:bCs/>
          <w:color w:val="FF0000"/>
          <w:sz w:val="26"/>
          <w:szCs w:val="26"/>
        </w:rPr>
      </w:pPr>
    </w:p>
    <w:p w14:paraId="45472D14" w14:textId="78B25DD7" w:rsidR="00CB333F" w:rsidRPr="00287725" w:rsidRDefault="00205DC9" w:rsidP="004243C1">
      <w:pPr>
        <w:jc w:val="center"/>
        <w:rPr>
          <w:rFonts w:ascii="ITC Avant Garde Gothic" w:hAnsi="ITC Avant Garde Gothic" w:cs="Calibri"/>
          <w:b/>
          <w:iCs/>
          <w:color w:val="FF0000"/>
          <w:sz w:val="26"/>
          <w:szCs w:val="26"/>
        </w:rPr>
      </w:pPr>
      <w:r w:rsidRPr="00287725">
        <w:rPr>
          <w:rFonts w:ascii="ITC Avant Garde Gothic" w:hAnsi="ITC Avant Garde Gothic" w:cs="Calibri"/>
          <w:b/>
          <w:iCs/>
          <w:color w:val="FF0000"/>
          <w:sz w:val="26"/>
          <w:szCs w:val="26"/>
        </w:rPr>
        <w:t>Appendix A</w:t>
      </w:r>
    </w:p>
    <w:p w14:paraId="6DC6E86E" w14:textId="52C56EE4" w:rsidR="00205DC9" w:rsidRPr="00414911" w:rsidRDefault="00CE1B37" w:rsidP="00414911">
      <w:pPr>
        <w:rPr>
          <w:rFonts w:ascii="ITC Avant Garde Gothic" w:hAnsi="ITC Avant Garde Gothic" w:cs="Calibri"/>
          <w:iCs/>
          <w:sz w:val="22"/>
          <w:szCs w:val="22"/>
        </w:rPr>
      </w:pPr>
      <w:r w:rsidRPr="003F7CE7">
        <w:rPr>
          <w:rFonts w:ascii="ITC Avant Garde Gothic" w:hAnsi="ITC Avant Garde Gothic" w:cs="Calibri"/>
          <w:iCs/>
          <w:color w:val="FF0000"/>
          <w:sz w:val="22"/>
          <w:szCs w:val="22"/>
          <w:u w:val="single"/>
        </w:rPr>
        <w:t>Practitioners need to be aware of SI No 490 of 2021 and SI 454 of 2022 – Rules of the Superior Cou</w:t>
      </w:r>
      <w:r w:rsidR="00534942" w:rsidRPr="003F7CE7">
        <w:rPr>
          <w:rFonts w:ascii="ITC Avant Garde Gothic" w:hAnsi="ITC Avant Garde Gothic" w:cs="Calibri"/>
          <w:iCs/>
          <w:color w:val="FF0000"/>
          <w:sz w:val="22"/>
          <w:szCs w:val="22"/>
          <w:u w:val="single"/>
        </w:rPr>
        <w:t>rts to view the legislation click on</w:t>
      </w:r>
      <w:r w:rsidRPr="003F7CE7">
        <w:rPr>
          <w:rFonts w:ascii="ITC Avant Garde Gothic" w:hAnsi="ITC Avant Garde Gothic" w:cs="Calibri"/>
          <w:iCs/>
          <w:color w:val="FF0000"/>
          <w:sz w:val="22"/>
          <w:szCs w:val="22"/>
          <w:u w:val="single"/>
        </w:rPr>
        <w:t xml:space="preserve"> the following links</w:t>
      </w:r>
      <w:r w:rsidR="00534942" w:rsidRPr="003F7CE7">
        <w:rPr>
          <w:rFonts w:ascii="ITC Avant Garde Gothic" w:hAnsi="ITC Avant Garde Gothic" w:cs="Calibri"/>
          <w:iCs/>
          <w:color w:val="FF0000"/>
          <w:sz w:val="22"/>
          <w:szCs w:val="22"/>
          <w:u w:val="single"/>
        </w:rPr>
        <w:t>:-</w:t>
      </w:r>
      <w:r w:rsidRPr="00287725">
        <w:rPr>
          <w:rFonts w:ascii="ITC Avant Garde Gothic" w:hAnsi="ITC Avant Garde Gothic" w:cs="Calibri"/>
          <w:iCs/>
          <w:color w:val="FF0000"/>
          <w:sz w:val="22"/>
          <w:szCs w:val="22"/>
        </w:rPr>
        <w:t xml:space="preserve"> </w:t>
      </w:r>
      <w:hyperlink r:id="rId10" w:history="1">
        <w:r w:rsidRPr="00414911">
          <w:rPr>
            <w:rStyle w:val="Hyperlink"/>
            <w:rFonts w:ascii="ITC Avant Garde Gothic" w:hAnsi="ITC Avant Garde Gothic" w:cs="Calibri"/>
            <w:iCs/>
            <w:sz w:val="22"/>
            <w:szCs w:val="22"/>
          </w:rPr>
          <w:t>https://www.irishstatutebook.ie/eli/2021/si/490/made/en/print</w:t>
        </w:r>
      </w:hyperlink>
      <w:r w:rsidRPr="00414911">
        <w:rPr>
          <w:rFonts w:ascii="ITC Avant Garde Gothic" w:hAnsi="ITC Avant Garde Gothic" w:cs="Calibri"/>
          <w:iCs/>
          <w:sz w:val="22"/>
          <w:szCs w:val="22"/>
        </w:rPr>
        <w:t xml:space="preserve"> </w:t>
      </w:r>
      <w:r w:rsidRPr="00287725">
        <w:rPr>
          <w:rFonts w:ascii="ITC Avant Garde Gothic" w:hAnsi="ITC Avant Garde Gothic" w:cs="Calibri"/>
          <w:iCs/>
          <w:color w:val="FF0000"/>
          <w:sz w:val="22"/>
          <w:szCs w:val="22"/>
        </w:rPr>
        <w:t>and</w:t>
      </w:r>
      <w:r w:rsidRPr="00414911">
        <w:rPr>
          <w:rFonts w:ascii="ITC Avant Garde Gothic" w:hAnsi="ITC Avant Garde Gothic" w:cs="Calibri"/>
          <w:iCs/>
          <w:sz w:val="22"/>
          <w:szCs w:val="22"/>
        </w:rPr>
        <w:t xml:space="preserve"> </w:t>
      </w:r>
      <w:hyperlink r:id="rId11" w:history="1">
        <w:r w:rsidRPr="00414911">
          <w:rPr>
            <w:rStyle w:val="Hyperlink"/>
            <w:rFonts w:ascii="ITC Avant Garde Gothic" w:hAnsi="ITC Avant Garde Gothic" w:cs="Calibri"/>
            <w:iCs/>
            <w:sz w:val="22"/>
            <w:szCs w:val="22"/>
          </w:rPr>
          <w:t>https://www.irishstatutebook.ie/eli/2022/si/454/made/en/print</w:t>
        </w:r>
      </w:hyperlink>
      <w:r w:rsidRPr="00414911">
        <w:rPr>
          <w:rFonts w:ascii="ITC Avant Garde Gothic" w:hAnsi="ITC Avant Garde Gothic" w:cs="Calibri"/>
          <w:iCs/>
          <w:sz w:val="22"/>
          <w:szCs w:val="22"/>
        </w:rPr>
        <w:t xml:space="preserve"> </w:t>
      </w:r>
    </w:p>
    <w:p w14:paraId="0EEEA44E" w14:textId="7421FAA8" w:rsidR="00CE1B37" w:rsidRPr="00414911" w:rsidRDefault="00CE1B37" w:rsidP="00E62334">
      <w:pPr>
        <w:rPr>
          <w:rFonts w:ascii="ITC Avant Garde Gothic" w:hAnsi="ITC Avant Garde Gothic" w:cs="Calibri"/>
          <w:iCs/>
          <w:sz w:val="22"/>
          <w:szCs w:val="22"/>
        </w:rPr>
      </w:pPr>
    </w:p>
    <w:p w14:paraId="72BD98EE" w14:textId="33732847" w:rsidR="00793526" w:rsidRPr="003F7CE7" w:rsidRDefault="00793526" w:rsidP="00E62334">
      <w:pPr>
        <w:rPr>
          <w:rFonts w:ascii="ITC Avant Garde Gothic" w:hAnsi="ITC Avant Garde Gothic" w:cs="Calibri"/>
          <w:b/>
          <w:color w:val="FF0000"/>
          <w:sz w:val="22"/>
          <w:szCs w:val="22"/>
          <w:u w:val="single"/>
        </w:rPr>
      </w:pPr>
      <w:r w:rsidRPr="003F7CE7">
        <w:rPr>
          <w:rFonts w:ascii="ITC Avant Garde Gothic" w:hAnsi="ITC Avant Garde Gothic" w:cs="Calibri"/>
          <w:b/>
          <w:color w:val="FF0000"/>
          <w:sz w:val="22"/>
          <w:szCs w:val="22"/>
          <w:u w:val="single"/>
        </w:rPr>
        <w:t>S.I. No. 490 of 2021</w:t>
      </w:r>
    </w:p>
    <w:p w14:paraId="73EC46C8" w14:textId="0CE37C90" w:rsidR="00E06D0B" w:rsidRPr="003F7CE7" w:rsidRDefault="00E06D0B" w:rsidP="00724225">
      <w:pPr>
        <w:jc w:val="both"/>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 xml:space="preserve">The main objectives of these rules, which </w:t>
      </w:r>
      <w:r w:rsidR="00793526" w:rsidRPr="003F7CE7">
        <w:rPr>
          <w:rFonts w:ascii="ITC Avant Garde Gothic" w:hAnsi="ITC Avant Garde Gothic" w:cs="Calibri"/>
          <w:color w:val="FF0000"/>
          <w:sz w:val="22"/>
          <w:szCs w:val="22"/>
          <w:u w:val="single"/>
        </w:rPr>
        <w:t>came into operat</w:t>
      </w:r>
      <w:r w:rsidR="00724225" w:rsidRPr="003F7CE7">
        <w:rPr>
          <w:rFonts w:ascii="ITC Avant Garde Gothic" w:hAnsi="ITC Avant Garde Gothic" w:cs="Calibri"/>
          <w:color w:val="FF0000"/>
          <w:sz w:val="22"/>
          <w:szCs w:val="22"/>
          <w:u w:val="single"/>
        </w:rPr>
        <w:t>ion on the 13 November 2021, were</w:t>
      </w:r>
      <w:r w:rsidR="00793526" w:rsidRPr="003F7CE7">
        <w:rPr>
          <w:rFonts w:ascii="ITC Avant Garde Gothic" w:hAnsi="ITC Avant Garde Gothic" w:cs="Calibri"/>
          <w:color w:val="FF0000"/>
          <w:sz w:val="22"/>
          <w:szCs w:val="22"/>
          <w:u w:val="single"/>
        </w:rPr>
        <w:t xml:space="preserve"> to reduce the </w:t>
      </w:r>
      <w:r w:rsidR="00303860" w:rsidRPr="003F7CE7">
        <w:rPr>
          <w:rFonts w:ascii="ITC Avant Garde Gothic" w:hAnsi="ITC Avant Garde Gothic" w:cs="Calibri"/>
          <w:color w:val="FF0000"/>
          <w:sz w:val="22"/>
          <w:szCs w:val="22"/>
          <w:u w:val="single"/>
        </w:rPr>
        <w:t>number of court hearings in case</w:t>
      </w:r>
      <w:r w:rsidR="00724225" w:rsidRPr="003F7CE7">
        <w:rPr>
          <w:rFonts w:ascii="ITC Avant Garde Gothic" w:hAnsi="ITC Avant Garde Gothic" w:cs="Calibri"/>
          <w:color w:val="FF0000"/>
          <w:sz w:val="22"/>
          <w:szCs w:val="22"/>
          <w:u w:val="single"/>
        </w:rPr>
        <w:t>s</w:t>
      </w:r>
      <w:r w:rsidR="00303860" w:rsidRPr="003F7CE7">
        <w:rPr>
          <w:rFonts w:ascii="ITC Avant Garde Gothic" w:hAnsi="ITC Avant Garde Gothic" w:cs="Calibri"/>
          <w:color w:val="FF0000"/>
          <w:sz w:val="22"/>
          <w:szCs w:val="22"/>
          <w:u w:val="single"/>
        </w:rPr>
        <w:t xml:space="preserve"> where there is a motion to seek judgement in default of </w:t>
      </w:r>
      <w:proofErr w:type="spellStart"/>
      <w:r w:rsidR="00303860" w:rsidRPr="003F7CE7">
        <w:rPr>
          <w:rFonts w:ascii="ITC Avant Garde Gothic" w:hAnsi="ITC Avant Garde Gothic" w:cs="Calibri"/>
          <w:color w:val="FF0000"/>
          <w:sz w:val="22"/>
          <w:szCs w:val="22"/>
          <w:u w:val="single"/>
        </w:rPr>
        <w:t>defence</w:t>
      </w:r>
      <w:proofErr w:type="spellEnd"/>
      <w:r w:rsidR="00303860" w:rsidRPr="003F7CE7">
        <w:rPr>
          <w:rFonts w:ascii="ITC Avant Garde Gothic" w:hAnsi="ITC Avant Garde Gothic" w:cs="Calibri"/>
          <w:color w:val="FF0000"/>
          <w:sz w:val="22"/>
          <w:szCs w:val="22"/>
          <w:u w:val="single"/>
        </w:rPr>
        <w:t xml:space="preserve"> and to </w:t>
      </w:r>
      <w:proofErr w:type="spellStart"/>
      <w:r w:rsidR="00303860" w:rsidRPr="003F7CE7">
        <w:rPr>
          <w:rFonts w:ascii="ITC Avant Garde Gothic" w:hAnsi="ITC Avant Garde Gothic" w:cs="Calibri"/>
          <w:color w:val="FF0000"/>
          <w:sz w:val="22"/>
          <w:szCs w:val="22"/>
          <w:u w:val="single"/>
        </w:rPr>
        <w:t>standardi</w:t>
      </w:r>
      <w:r w:rsidR="3F9E9373" w:rsidRPr="003F7CE7">
        <w:rPr>
          <w:rFonts w:ascii="ITC Avant Garde Gothic" w:hAnsi="ITC Avant Garde Gothic" w:cs="Calibri"/>
          <w:color w:val="FF0000"/>
          <w:sz w:val="22"/>
          <w:szCs w:val="22"/>
          <w:u w:val="single"/>
        </w:rPr>
        <w:t>s</w:t>
      </w:r>
      <w:r w:rsidR="00303860" w:rsidRPr="003F7CE7">
        <w:rPr>
          <w:rFonts w:ascii="ITC Avant Garde Gothic" w:hAnsi="ITC Avant Garde Gothic" w:cs="Calibri"/>
          <w:color w:val="FF0000"/>
          <w:sz w:val="22"/>
          <w:szCs w:val="22"/>
          <w:u w:val="single"/>
        </w:rPr>
        <w:t>e</w:t>
      </w:r>
      <w:proofErr w:type="spellEnd"/>
      <w:r w:rsidR="00303860" w:rsidRPr="003F7CE7">
        <w:rPr>
          <w:rFonts w:ascii="ITC Avant Garde Gothic" w:hAnsi="ITC Avant Garde Gothic" w:cs="Calibri"/>
          <w:color w:val="FF0000"/>
          <w:sz w:val="22"/>
          <w:szCs w:val="22"/>
          <w:u w:val="single"/>
        </w:rPr>
        <w:t xml:space="preserve"> the time periods for delivering certain pleadings.</w:t>
      </w:r>
      <w:r w:rsidR="00DE0DA2" w:rsidRPr="003F7CE7">
        <w:rPr>
          <w:rFonts w:ascii="ITC Avant Garde Gothic" w:hAnsi="ITC Avant Garde Gothic" w:cs="Calibri"/>
          <w:color w:val="FF0000"/>
          <w:sz w:val="22"/>
          <w:szCs w:val="22"/>
          <w:u w:val="single"/>
        </w:rPr>
        <w:t xml:space="preserve">  These </w:t>
      </w:r>
      <w:proofErr w:type="gramStart"/>
      <w:r w:rsidR="00DE0DA2" w:rsidRPr="003F7CE7">
        <w:rPr>
          <w:rFonts w:ascii="ITC Avant Garde Gothic" w:hAnsi="ITC Avant Garde Gothic" w:cs="Calibri"/>
          <w:color w:val="FF0000"/>
          <w:sz w:val="22"/>
          <w:szCs w:val="22"/>
          <w:u w:val="single"/>
        </w:rPr>
        <w:t>Rules:-</w:t>
      </w:r>
      <w:proofErr w:type="gramEnd"/>
    </w:p>
    <w:p w14:paraId="565B2105" w14:textId="07CAD7C0" w:rsidR="00DE0DA2" w:rsidRPr="003F7CE7" w:rsidRDefault="00DE0DA2" w:rsidP="006C0811">
      <w:pPr>
        <w:pStyle w:val="ListParagraph"/>
        <w:numPr>
          <w:ilvl w:val="0"/>
          <w:numId w:val="7"/>
        </w:numPr>
        <w:jc w:val="both"/>
        <w:rPr>
          <w:rFonts w:ascii="ITC Avant Garde Gothic" w:hAnsi="ITC Avant Garde Gothic" w:cs="Calibri"/>
          <w:color w:val="FF0000"/>
          <w:sz w:val="22"/>
          <w:szCs w:val="22"/>
          <w:u w:val="single"/>
        </w:rPr>
      </w:pPr>
      <w:proofErr w:type="spellStart"/>
      <w:r w:rsidRPr="003F7CE7">
        <w:rPr>
          <w:rFonts w:ascii="ITC Avant Garde Gothic" w:hAnsi="ITC Avant Garde Gothic" w:cs="Calibri"/>
          <w:color w:val="FF0000"/>
          <w:sz w:val="22"/>
          <w:szCs w:val="22"/>
          <w:u w:val="single"/>
        </w:rPr>
        <w:t>S</w:t>
      </w:r>
      <w:r w:rsidR="006C0811" w:rsidRPr="003F7CE7">
        <w:rPr>
          <w:rFonts w:ascii="ITC Avant Garde Gothic" w:hAnsi="ITC Avant Garde Gothic" w:cs="Calibri"/>
          <w:color w:val="FF0000"/>
          <w:sz w:val="22"/>
          <w:szCs w:val="22"/>
          <w:u w:val="single"/>
        </w:rPr>
        <w:t>tandardis</w:t>
      </w:r>
      <w:r w:rsidR="00303860" w:rsidRPr="003F7CE7">
        <w:rPr>
          <w:rFonts w:ascii="ITC Avant Garde Gothic" w:hAnsi="ITC Avant Garde Gothic" w:cs="Calibri"/>
          <w:color w:val="FF0000"/>
          <w:sz w:val="22"/>
          <w:szCs w:val="22"/>
          <w:u w:val="single"/>
        </w:rPr>
        <w:t>e</w:t>
      </w:r>
      <w:proofErr w:type="spellEnd"/>
      <w:r w:rsidR="00303860" w:rsidRPr="003F7CE7">
        <w:rPr>
          <w:rFonts w:ascii="ITC Avant Garde Gothic" w:hAnsi="ITC Avant Garde Gothic" w:cs="Calibri"/>
          <w:color w:val="FF0000"/>
          <w:sz w:val="22"/>
          <w:szCs w:val="22"/>
          <w:u w:val="single"/>
        </w:rPr>
        <w:t xml:space="preserve"> the time for delivery of a statement of claim by a plaintiff to 8 weeks from the service of the summons.</w:t>
      </w:r>
    </w:p>
    <w:p w14:paraId="2DF472EA" w14:textId="2BEDA0F7" w:rsidR="006C0811" w:rsidRPr="003F7CE7" w:rsidRDefault="00DE0DA2" w:rsidP="006C0811">
      <w:pPr>
        <w:pStyle w:val="ListParagraph"/>
        <w:numPr>
          <w:ilvl w:val="0"/>
          <w:numId w:val="7"/>
        </w:numPr>
        <w:jc w:val="both"/>
        <w:rPr>
          <w:rFonts w:ascii="ITC Avant Garde Gothic" w:hAnsi="ITC Avant Garde Gothic" w:cs="Calibri"/>
          <w:color w:val="FF0000"/>
          <w:sz w:val="22"/>
          <w:szCs w:val="22"/>
          <w:u w:val="single"/>
        </w:rPr>
      </w:pPr>
      <w:proofErr w:type="spellStart"/>
      <w:r w:rsidRPr="003F7CE7">
        <w:rPr>
          <w:rFonts w:ascii="ITC Avant Garde Gothic" w:hAnsi="ITC Avant Garde Gothic" w:cs="Calibri"/>
          <w:color w:val="FF0000"/>
          <w:sz w:val="22"/>
          <w:szCs w:val="22"/>
          <w:u w:val="single"/>
        </w:rPr>
        <w:t>S</w:t>
      </w:r>
      <w:r w:rsidR="006C0811" w:rsidRPr="003F7CE7">
        <w:rPr>
          <w:rFonts w:ascii="ITC Avant Garde Gothic" w:hAnsi="ITC Avant Garde Gothic" w:cs="Calibri"/>
          <w:color w:val="FF0000"/>
          <w:sz w:val="22"/>
          <w:szCs w:val="22"/>
          <w:u w:val="single"/>
        </w:rPr>
        <w:t>tandardis</w:t>
      </w:r>
      <w:r w:rsidR="00303860" w:rsidRPr="003F7CE7">
        <w:rPr>
          <w:rFonts w:ascii="ITC Avant Garde Gothic" w:hAnsi="ITC Avant Garde Gothic" w:cs="Calibri"/>
          <w:color w:val="FF0000"/>
          <w:sz w:val="22"/>
          <w:szCs w:val="22"/>
          <w:u w:val="single"/>
        </w:rPr>
        <w:t>e</w:t>
      </w:r>
      <w:proofErr w:type="spellEnd"/>
      <w:r w:rsidR="00303860" w:rsidRPr="003F7CE7">
        <w:rPr>
          <w:rFonts w:ascii="ITC Avant Garde Gothic" w:hAnsi="ITC Avant Garde Gothic" w:cs="Calibri"/>
          <w:color w:val="FF0000"/>
          <w:sz w:val="22"/>
          <w:szCs w:val="22"/>
          <w:u w:val="single"/>
        </w:rPr>
        <w:t xml:space="preserve"> the time for delivery of </w:t>
      </w:r>
      <w:proofErr w:type="spellStart"/>
      <w:r w:rsidR="00303860" w:rsidRPr="003F7CE7">
        <w:rPr>
          <w:rFonts w:ascii="ITC Avant Garde Gothic" w:hAnsi="ITC Avant Garde Gothic" w:cs="Calibri"/>
          <w:color w:val="FF0000"/>
          <w:sz w:val="22"/>
          <w:szCs w:val="22"/>
          <w:u w:val="single"/>
        </w:rPr>
        <w:t>defence</w:t>
      </w:r>
      <w:proofErr w:type="spellEnd"/>
      <w:r w:rsidR="00303860" w:rsidRPr="003F7CE7">
        <w:rPr>
          <w:rFonts w:ascii="ITC Avant Garde Gothic" w:hAnsi="ITC Avant Garde Gothic" w:cs="Calibri"/>
          <w:color w:val="FF0000"/>
          <w:sz w:val="22"/>
          <w:szCs w:val="22"/>
          <w:u w:val="single"/>
        </w:rPr>
        <w:t xml:space="preserve"> in all cases to 8 weeks. </w:t>
      </w:r>
    </w:p>
    <w:p w14:paraId="463A1A6B" w14:textId="31D263B9" w:rsidR="00DE0DA2" w:rsidRPr="003F7CE7" w:rsidRDefault="006C0811" w:rsidP="006C0811">
      <w:pPr>
        <w:pStyle w:val="ListParagraph"/>
        <w:numPr>
          <w:ilvl w:val="0"/>
          <w:numId w:val="7"/>
        </w:numPr>
        <w:jc w:val="both"/>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 xml:space="preserve">Prior to these rules, the system for motions for judgment for failure to deliver a </w:t>
      </w:r>
      <w:proofErr w:type="spellStart"/>
      <w:r w:rsidRPr="003F7CE7">
        <w:rPr>
          <w:rFonts w:ascii="ITC Avant Garde Gothic" w:hAnsi="ITC Avant Garde Gothic" w:cs="Calibri"/>
          <w:color w:val="FF0000"/>
          <w:sz w:val="22"/>
          <w:szCs w:val="22"/>
          <w:u w:val="single"/>
        </w:rPr>
        <w:t>defence</w:t>
      </w:r>
      <w:proofErr w:type="spellEnd"/>
      <w:r w:rsidRPr="003F7CE7">
        <w:rPr>
          <w:rFonts w:ascii="ITC Avant Garde Gothic" w:hAnsi="ITC Avant Garde Gothic" w:cs="Calibri"/>
          <w:color w:val="FF0000"/>
          <w:sz w:val="22"/>
          <w:szCs w:val="22"/>
          <w:u w:val="single"/>
        </w:rPr>
        <w:t xml:space="preserve"> involved two motions (and at least one adjournment) before judgment is </w:t>
      </w:r>
      <w:proofErr w:type="gramStart"/>
      <w:r w:rsidRPr="003F7CE7">
        <w:rPr>
          <w:rFonts w:ascii="ITC Avant Garde Gothic" w:hAnsi="ITC Avant Garde Gothic" w:cs="Calibri"/>
          <w:color w:val="FF0000"/>
          <w:sz w:val="22"/>
          <w:szCs w:val="22"/>
          <w:u w:val="single"/>
        </w:rPr>
        <w:t>given, and</w:t>
      </w:r>
      <w:proofErr w:type="gramEnd"/>
      <w:r w:rsidRPr="003F7CE7">
        <w:rPr>
          <w:rFonts w:ascii="ITC Avant Garde Gothic" w:hAnsi="ITC Avant Garde Gothic" w:cs="Calibri"/>
          <w:color w:val="FF0000"/>
          <w:sz w:val="22"/>
          <w:szCs w:val="22"/>
          <w:u w:val="single"/>
        </w:rPr>
        <w:t xml:space="preserve"> imposed significantly on court time.</w:t>
      </w:r>
    </w:p>
    <w:p w14:paraId="43FDC18F" w14:textId="61076C8D" w:rsidR="00DE0DA2" w:rsidRPr="003F7CE7" w:rsidRDefault="006C0811" w:rsidP="006C0811">
      <w:pPr>
        <w:pStyle w:val="ListParagraph"/>
        <w:numPr>
          <w:ilvl w:val="0"/>
          <w:numId w:val="7"/>
        </w:numPr>
        <w:jc w:val="both"/>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These rules p</w:t>
      </w:r>
      <w:r w:rsidR="00724225" w:rsidRPr="003F7CE7">
        <w:rPr>
          <w:rFonts w:ascii="ITC Avant Garde Gothic" w:hAnsi="ITC Avant Garde Gothic" w:cs="Calibri"/>
          <w:color w:val="FF0000"/>
          <w:sz w:val="22"/>
          <w:szCs w:val="22"/>
          <w:u w:val="single"/>
        </w:rPr>
        <w:t xml:space="preserve">ropose one court hearing.  Where the court extends time for delivery of the </w:t>
      </w:r>
      <w:proofErr w:type="spellStart"/>
      <w:r w:rsidR="00724225" w:rsidRPr="003F7CE7">
        <w:rPr>
          <w:rFonts w:ascii="ITC Avant Garde Gothic" w:hAnsi="ITC Avant Garde Gothic" w:cs="Calibri"/>
          <w:color w:val="FF0000"/>
          <w:sz w:val="22"/>
          <w:szCs w:val="22"/>
          <w:u w:val="single"/>
        </w:rPr>
        <w:t>defence</w:t>
      </w:r>
      <w:proofErr w:type="spellEnd"/>
      <w:r w:rsidR="00724225" w:rsidRPr="003F7CE7">
        <w:rPr>
          <w:rFonts w:ascii="ITC Avant Garde Gothic" w:hAnsi="ITC Avant Garde Gothic" w:cs="Calibri"/>
          <w:color w:val="FF0000"/>
          <w:sz w:val="22"/>
          <w:szCs w:val="22"/>
          <w:u w:val="single"/>
        </w:rPr>
        <w:t>, the only order to be made would be an “Unless Order”.  Judgement is to be entered for the plaintiff, except where an extension of time is in the interest</w:t>
      </w:r>
      <w:r w:rsidR="00DE0DA2" w:rsidRPr="003F7CE7">
        <w:rPr>
          <w:rFonts w:ascii="ITC Avant Garde Gothic" w:hAnsi="ITC Avant Garde Gothic" w:cs="Calibri"/>
          <w:color w:val="FF0000"/>
          <w:sz w:val="22"/>
          <w:szCs w:val="22"/>
          <w:u w:val="single"/>
        </w:rPr>
        <w:t>s of justice.  If an extension i</w:t>
      </w:r>
      <w:r w:rsidR="00724225" w:rsidRPr="003F7CE7">
        <w:rPr>
          <w:rFonts w:ascii="ITC Avant Garde Gothic" w:hAnsi="ITC Avant Garde Gothic" w:cs="Calibri"/>
          <w:color w:val="FF0000"/>
          <w:sz w:val="22"/>
          <w:szCs w:val="22"/>
          <w:u w:val="single"/>
        </w:rPr>
        <w:t>s</w:t>
      </w:r>
      <w:r w:rsidR="00DE0DA2" w:rsidRPr="003F7CE7">
        <w:rPr>
          <w:rFonts w:ascii="ITC Avant Garde Gothic" w:hAnsi="ITC Avant Garde Gothic" w:cs="Calibri"/>
          <w:color w:val="FF0000"/>
          <w:sz w:val="22"/>
          <w:szCs w:val="22"/>
          <w:u w:val="single"/>
        </w:rPr>
        <w:t xml:space="preserve"> warranted, the court will confi</w:t>
      </w:r>
      <w:r w:rsidR="00724225" w:rsidRPr="003F7CE7">
        <w:rPr>
          <w:rFonts w:ascii="ITC Avant Garde Gothic" w:hAnsi="ITC Avant Garde Gothic" w:cs="Calibri"/>
          <w:color w:val="FF0000"/>
          <w:sz w:val="22"/>
          <w:szCs w:val="22"/>
          <w:u w:val="single"/>
        </w:rPr>
        <w:t xml:space="preserve">rm the extended period and order that if the </w:t>
      </w:r>
      <w:proofErr w:type="spellStart"/>
      <w:r w:rsidR="00724225" w:rsidRPr="003F7CE7">
        <w:rPr>
          <w:rFonts w:ascii="ITC Avant Garde Gothic" w:hAnsi="ITC Avant Garde Gothic" w:cs="Calibri"/>
          <w:color w:val="FF0000"/>
          <w:sz w:val="22"/>
          <w:szCs w:val="22"/>
          <w:u w:val="single"/>
        </w:rPr>
        <w:t>defence</w:t>
      </w:r>
      <w:proofErr w:type="spellEnd"/>
      <w:r w:rsidR="00724225" w:rsidRPr="003F7CE7">
        <w:rPr>
          <w:rFonts w:ascii="ITC Avant Garde Gothic" w:hAnsi="ITC Avant Garde Gothic" w:cs="Calibri"/>
          <w:color w:val="FF0000"/>
          <w:sz w:val="22"/>
          <w:szCs w:val="22"/>
          <w:u w:val="single"/>
        </w:rPr>
        <w:t xml:space="preserve"> is not delivered within that time, judgeme</w:t>
      </w:r>
      <w:r w:rsidR="00DE0DA2" w:rsidRPr="003F7CE7">
        <w:rPr>
          <w:rFonts w:ascii="ITC Avant Garde Gothic" w:hAnsi="ITC Avant Garde Gothic" w:cs="Calibri"/>
          <w:color w:val="FF0000"/>
          <w:sz w:val="22"/>
          <w:szCs w:val="22"/>
          <w:u w:val="single"/>
        </w:rPr>
        <w:t>nt</w:t>
      </w:r>
      <w:r w:rsidR="00724225" w:rsidRPr="003F7CE7">
        <w:rPr>
          <w:rFonts w:ascii="ITC Avant Garde Gothic" w:hAnsi="ITC Avant Garde Gothic" w:cs="Calibri"/>
          <w:color w:val="FF0000"/>
          <w:sz w:val="22"/>
          <w:szCs w:val="22"/>
          <w:u w:val="single"/>
        </w:rPr>
        <w:t xml:space="preserve"> will be entered for the plaintiff without a need for any further application to the court.</w:t>
      </w:r>
    </w:p>
    <w:p w14:paraId="0440B8FC" w14:textId="6A15ACE0" w:rsidR="006C0811" w:rsidRPr="003F7CE7" w:rsidRDefault="006C0811" w:rsidP="006C0811">
      <w:pPr>
        <w:numPr>
          <w:ilvl w:val="0"/>
          <w:numId w:val="7"/>
        </w:numPr>
        <w:shd w:val="clear" w:color="auto" w:fill="FFFFFF"/>
        <w:spacing w:before="100" w:beforeAutospacing="1" w:after="100" w:afterAutospacing="1"/>
        <w:jc w:val="both"/>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These rules make it clear that the court is empowered to grant further relief claimed without the need to set the matter down for assessment or further determination.</w:t>
      </w:r>
    </w:p>
    <w:p w14:paraId="03B758FF" w14:textId="74DC4226" w:rsidR="006C0811" w:rsidRPr="003F7CE7" w:rsidRDefault="006C0811" w:rsidP="006C0811">
      <w:pPr>
        <w:numPr>
          <w:ilvl w:val="0"/>
          <w:numId w:val="7"/>
        </w:numPr>
        <w:shd w:val="clear" w:color="auto" w:fill="FFFFFF"/>
        <w:spacing w:before="100" w:beforeAutospacing="1" w:after="100" w:afterAutospacing="1"/>
        <w:jc w:val="both"/>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Where judgment has been obtained in default of appearance, the court was already empowered to set aside the judgment </w:t>
      </w:r>
      <w:r w:rsidRPr="003F7CE7">
        <w:rPr>
          <w:rFonts w:ascii="ITC Avant Garde Gothic" w:hAnsi="ITC Avant Garde Gothic" w:cs="Calibri"/>
          <w:i/>
          <w:iCs/>
          <w:color w:val="FF0000"/>
          <w:sz w:val="22"/>
          <w:szCs w:val="22"/>
          <w:u w:val="single"/>
        </w:rPr>
        <w:t xml:space="preserve">“upon such terms as may be just”.  </w:t>
      </w:r>
      <w:r w:rsidRPr="003F7CE7">
        <w:rPr>
          <w:rFonts w:ascii="ITC Avant Garde Gothic" w:hAnsi="ITC Avant Garde Gothic" w:cs="Calibri"/>
          <w:color w:val="FF0000"/>
          <w:sz w:val="22"/>
          <w:szCs w:val="22"/>
          <w:u w:val="single"/>
        </w:rPr>
        <w:t>These rules specifically set out the established tests for same. </w:t>
      </w:r>
    </w:p>
    <w:p w14:paraId="27F75305" w14:textId="1B10706C" w:rsidR="00303860" w:rsidRPr="003F7CE7" w:rsidRDefault="006C0811" w:rsidP="00E62334">
      <w:pPr>
        <w:numPr>
          <w:ilvl w:val="0"/>
          <w:numId w:val="7"/>
        </w:numPr>
        <w:shd w:val="clear" w:color="auto" w:fill="FFFFFF"/>
        <w:spacing w:before="100" w:beforeAutospacing="1" w:after="100" w:afterAutospacing="1"/>
        <w:jc w:val="both"/>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These rules provide that a plaintiff must give the defendant a 28 day "warning letter" which is a notice of intention to seek judgment in default of appearance. These rules also require that, in all applications for judgment in default of appearance, the plaintiff must serve the motion on the defendant.  This should ensure that defendants are not taken by surprise in applications for judgement in default of appearance and should reduce the number of applications to set aside judgment obtained in default.   </w:t>
      </w:r>
    </w:p>
    <w:p w14:paraId="42E2ED96" w14:textId="56895170" w:rsidR="00DE0DA2" w:rsidRPr="003F7CE7" w:rsidRDefault="00DE0DA2" w:rsidP="00E62334">
      <w:pPr>
        <w:rPr>
          <w:rFonts w:ascii="ITC Avant Garde Gothic" w:hAnsi="ITC Avant Garde Gothic" w:cs="Calibri"/>
          <w:b/>
          <w:color w:val="FF0000"/>
          <w:sz w:val="22"/>
          <w:szCs w:val="22"/>
          <w:u w:val="single"/>
        </w:rPr>
      </w:pPr>
      <w:r w:rsidRPr="003F7CE7">
        <w:rPr>
          <w:rFonts w:ascii="ITC Avant Garde Gothic" w:hAnsi="ITC Avant Garde Gothic" w:cs="Calibri"/>
          <w:b/>
          <w:color w:val="FF0000"/>
          <w:sz w:val="22"/>
          <w:szCs w:val="22"/>
          <w:u w:val="single"/>
        </w:rPr>
        <w:t xml:space="preserve">S.I. 454 of 2022 </w:t>
      </w:r>
    </w:p>
    <w:p w14:paraId="6D0621CE" w14:textId="1E266971" w:rsidR="00DE0DA2" w:rsidRPr="003F7CE7" w:rsidRDefault="00DE0DA2" w:rsidP="00E62334">
      <w:pPr>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These Rules came into operation on the 16 September 2022</w:t>
      </w:r>
      <w:r w:rsidR="00E06D0B" w:rsidRPr="003F7CE7">
        <w:rPr>
          <w:rFonts w:ascii="ITC Avant Garde Gothic" w:hAnsi="ITC Avant Garde Gothic" w:cs="Calibri"/>
          <w:color w:val="FF0000"/>
          <w:sz w:val="22"/>
          <w:szCs w:val="22"/>
          <w:u w:val="single"/>
        </w:rPr>
        <w:t>.</w:t>
      </w:r>
    </w:p>
    <w:p w14:paraId="04B54ACD" w14:textId="14CF0DC5" w:rsidR="00C66C38" w:rsidRPr="003F7CE7" w:rsidRDefault="00C66C38" w:rsidP="00C66C38">
      <w:pPr>
        <w:pStyle w:val="ListParagraph"/>
        <w:numPr>
          <w:ilvl w:val="0"/>
          <w:numId w:val="8"/>
        </w:numPr>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 xml:space="preserve">Order 27 Rule 9 </w:t>
      </w:r>
      <w:r w:rsidR="00E06D0B" w:rsidRPr="003F7CE7">
        <w:rPr>
          <w:rFonts w:ascii="ITC Avant Garde Gothic" w:hAnsi="ITC Avant Garde Gothic" w:cs="Calibri"/>
          <w:color w:val="FF0000"/>
          <w:sz w:val="22"/>
          <w:szCs w:val="22"/>
          <w:u w:val="single"/>
        </w:rPr>
        <w:t xml:space="preserve">of S.I. No. 490 of 2021 </w:t>
      </w:r>
      <w:r w:rsidRPr="003F7CE7">
        <w:rPr>
          <w:rFonts w:ascii="ITC Avant Garde Gothic" w:hAnsi="ITC Avant Garde Gothic" w:cs="Calibri"/>
          <w:color w:val="FF0000"/>
          <w:sz w:val="22"/>
          <w:szCs w:val="22"/>
          <w:u w:val="single"/>
        </w:rPr>
        <w:t>was substituted by S.I. 454 of 2022</w:t>
      </w:r>
    </w:p>
    <w:p w14:paraId="0F41F40E" w14:textId="4A4ABE06" w:rsidR="00C66C38" w:rsidRPr="003F7CE7" w:rsidRDefault="00C66C38" w:rsidP="00C66C38">
      <w:pPr>
        <w:pStyle w:val="ListParagraph"/>
        <w:numPr>
          <w:ilvl w:val="0"/>
          <w:numId w:val="8"/>
        </w:numPr>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t>Order 27 Rule 15(2) was substituted by S.I. 454 of 2022</w:t>
      </w:r>
    </w:p>
    <w:p w14:paraId="153061E7" w14:textId="6F1B7510" w:rsidR="520F925A" w:rsidRPr="003F7CE7" w:rsidRDefault="520F925A" w:rsidP="520F925A">
      <w:pPr>
        <w:rPr>
          <w:rFonts w:ascii="ITC Avant Garde Gothic" w:hAnsi="ITC Avant Garde Gothic" w:cs="Calibri"/>
          <w:color w:val="FF0000"/>
          <w:sz w:val="22"/>
          <w:szCs w:val="22"/>
          <w:u w:val="single"/>
        </w:rPr>
      </w:pPr>
    </w:p>
    <w:p w14:paraId="006D832D" w14:textId="66C47720" w:rsidR="520F925A" w:rsidRPr="003F7CE7" w:rsidRDefault="520F925A" w:rsidP="520F925A">
      <w:pPr>
        <w:rPr>
          <w:rFonts w:ascii="ITC Avant Garde Gothic" w:hAnsi="ITC Avant Garde Gothic" w:cs="Calibri"/>
          <w:color w:val="FF0000"/>
          <w:sz w:val="22"/>
          <w:szCs w:val="22"/>
          <w:u w:val="single"/>
        </w:rPr>
      </w:pPr>
    </w:p>
    <w:p w14:paraId="08A604F4" w14:textId="03BDC831" w:rsidR="520F925A" w:rsidRPr="003F7CE7" w:rsidRDefault="520F925A" w:rsidP="520F925A">
      <w:pPr>
        <w:rPr>
          <w:rFonts w:ascii="ITC Avant Garde Gothic" w:hAnsi="ITC Avant Garde Gothic" w:cs="Calibri"/>
          <w:color w:val="FF0000"/>
          <w:sz w:val="22"/>
          <w:szCs w:val="22"/>
          <w:u w:val="single"/>
        </w:rPr>
      </w:pPr>
    </w:p>
    <w:p w14:paraId="3068C891" w14:textId="3C4CF3FC" w:rsidR="00E06D0B" w:rsidRPr="00287725" w:rsidRDefault="00E06D0B" w:rsidP="00E06D0B">
      <w:pPr>
        <w:rPr>
          <w:rFonts w:ascii="ITC Avant Garde Gothic" w:hAnsi="ITC Avant Garde Gothic" w:cs="Calibri"/>
          <w:color w:val="FF0000"/>
          <w:sz w:val="22"/>
          <w:szCs w:val="22"/>
        </w:rPr>
      </w:pPr>
    </w:p>
    <w:p w14:paraId="6F38EE33" w14:textId="1F2A1EC1" w:rsidR="00E06D0B" w:rsidRPr="003F7CE7" w:rsidRDefault="009641AA" w:rsidP="00E06D0B">
      <w:pPr>
        <w:jc w:val="both"/>
        <w:rPr>
          <w:rFonts w:ascii="ITC Avant Garde Gothic" w:hAnsi="ITC Avant Garde Gothic" w:cs="Calibri"/>
          <w:color w:val="FF0000"/>
          <w:sz w:val="22"/>
          <w:szCs w:val="22"/>
          <w:u w:val="single"/>
        </w:rPr>
      </w:pPr>
      <w:r w:rsidRPr="003F7CE7">
        <w:rPr>
          <w:rFonts w:ascii="ITC Avant Garde Gothic" w:hAnsi="ITC Avant Garde Gothic" w:cs="Calibri"/>
          <w:color w:val="FF0000"/>
          <w:sz w:val="22"/>
          <w:szCs w:val="22"/>
          <w:u w:val="single"/>
        </w:rPr>
        <w:lastRenderedPageBreak/>
        <w:t xml:space="preserve">NOTE TO PRACTITIONERS - </w:t>
      </w:r>
      <w:r w:rsidR="00E06D0B" w:rsidRPr="003F7CE7">
        <w:rPr>
          <w:rFonts w:ascii="ITC Avant Garde Gothic" w:hAnsi="ITC Avant Garde Gothic" w:cs="Calibri"/>
          <w:color w:val="FF0000"/>
          <w:sz w:val="22"/>
          <w:szCs w:val="22"/>
          <w:u w:val="single"/>
        </w:rPr>
        <w:t xml:space="preserve">The application of these Rules will provide certainty to a plaintiff on the requirement on the part of the defendant to meet the action before the courts. </w:t>
      </w:r>
      <w:r w:rsidR="00534942" w:rsidRPr="003F7CE7">
        <w:rPr>
          <w:rFonts w:ascii="ITC Avant Garde Gothic" w:hAnsi="ITC Avant Garde Gothic" w:cs="Calibri"/>
          <w:color w:val="FF0000"/>
          <w:sz w:val="22"/>
          <w:szCs w:val="22"/>
          <w:u w:val="single"/>
        </w:rPr>
        <w:t xml:space="preserve"> </w:t>
      </w:r>
      <w:r w:rsidR="00E06D0B" w:rsidRPr="003F7CE7">
        <w:rPr>
          <w:rFonts w:ascii="ITC Avant Garde Gothic" w:hAnsi="ITC Avant Garde Gothic" w:cs="Calibri"/>
          <w:color w:val="FF0000"/>
          <w:sz w:val="22"/>
          <w:szCs w:val="22"/>
          <w:u w:val="single"/>
        </w:rPr>
        <w:t>Practitioners need to ensure that when takin</w:t>
      </w:r>
      <w:r w:rsidRPr="003F7CE7">
        <w:rPr>
          <w:rFonts w:ascii="ITC Avant Garde Gothic" w:hAnsi="ITC Avant Garde Gothic" w:cs="Calibri"/>
          <w:color w:val="FF0000"/>
          <w:sz w:val="22"/>
          <w:szCs w:val="22"/>
          <w:u w:val="single"/>
        </w:rPr>
        <w:t xml:space="preserve">g </w:t>
      </w:r>
      <w:proofErr w:type="gramStart"/>
      <w:r w:rsidRPr="003F7CE7">
        <w:rPr>
          <w:rFonts w:ascii="ITC Avant Garde Gothic" w:hAnsi="ITC Avant Garde Gothic" w:cs="Calibri"/>
          <w:color w:val="FF0000"/>
          <w:sz w:val="22"/>
          <w:szCs w:val="22"/>
          <w:u w:val="single"/>
        </w:rPr>
        <w:t>instructions</w:t>
      </w:r>
      <w:proofErr w:type="gramEnd"/>
      <w:r w:rsidRPr="003F7CE7">
        <w:rPr>
          <w:rFonts w:ascii="ITC Avant Garde Gothic" w:hAnsi="ITC Avant Garde Gothic" w:cs="Calibri"/>
          <w:color w:val="FF0000"/>
          <w:sz w:val="22"/>
          <w:szCs w:val="22"/>
          <w:u w:val="single"/>
        </w:rPr>
        <w:t xml:space="preserve"> they get fu</w:t>
      </w:r>
      <w:r w:rsidR="00E06D0B" w:rsidRPr="003F7CE7">
        <w:rPr>
          <w:rFonts w:ascii="ITC Avant Garde Gothic" w:hAnsi="ITC Avant Garde Gothic" w:cs="Calibri"/>
          <w:color w:val="FF0000"/>
          <w:sz w:val="22"/>
          <w:szCs w:val="22"/>
          <w:u w:val="single"/>
        </w:rPr>
        <w:t xml:space="preserve">ll details as to the proposed </w:t>
      </w:r>
      <w:proofErr w:type="spellStart"/>
      <w:r w:rsidR="00E06D0B" w:rsidRPr="003F7CE7">
        <w:rPr>
          <w:rFonts w:ascii="ITC Avant Garde Gothic" w:hAnsi="ITC Avant Garde Gothic" w:cs="Calibri"/>
          <w:color w:val="FF0000"/>
          <w:sz w:val="22"/>
          <w:szCs w:val="22"/>
          <w:u w:val="single"/>
        </w:rPr>
        <w:t>defence</w:t>
      </w:r>
      <w:proofErr w:type="spellEnd"/>
      <w:r w:rsidR="00E06D0B" w:rsidRPr="003F7CE7">
        <w:rPr>
          <w:rFonts w:ascii="ITC Avant Garde Gothic" w:hAnsi="ITC Avant Garde Gothic" w:cs="Calibri"/>
          <w:color w:val="FF0000"/>
          <w:sz w:val="22"/>
          <w:szCs w:val="22"/>
          <w:u w:val="single"/>
        </w:rPr>
        <w:t xml:space="preserve"> because once proceedings issue there will be little time to consider matter in any significant way particularly in complex transactions.</w:t>
      </w:r>
    </w:p>
    <w:p w14:paraId="70BEA34F" w14:textId="77777777" w:rsidR="004243C1" w:rsidRPr="00C66C38" w:rsidRDefault="004243C1" w:rsidP="004243C1">
      <w:pPr>
        <w:pStyle w:val="ListParagraph"/>
        <w:ind w:right="135"/>
        <w:rPr>
          <w:rFonts w:ascii="ITC Avant Garde Gothic" w:hAnsi="ITC Avant Garde Gothic" w:cs="Calibri"/>
          <w:sz w:val="22"/>
          <w:szCs w:val="22"/>
        </w:rPr>
      </w:pPr>
    </w:p>
    <w:sectPr w:rsidR="004243C1" w:rsidRPr="00C66C38" w:rsidSect="00281C39">
      <w:headerReference w:type="default" r:id="rId12"/>
      <w:footerReference w:type="default" r:id="rId13"/>
      <w:headerReference w:type="first" r:id="rId14"/>
      <w:footerReference w:type="first" r:id="rId15"/>
      <w:pgSz w:w="12240" w:h="15840"/>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73610" w14:textId="77777777" w:rsidR="008E0E5F" w:rsidRDefault="008E0E5F">
      <w:r>
        <w:separator/>
      </w:r>
    </w:p>
  </w:endnote>
  <w:endnote w:type="continuationSeparator" w:id="0">
    <w:p w14:paraId="3834207E" w14:textId="77777777" w:rsidR="008E0E5F" w:rsidRDefault="008E0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ITC Avant Garde Gothic">
    <w:altName w:val="Calibri"/>
    <w:panose1 w:val="020B0604020202020204"/>
    <w:charset w:val="00"/>
    <w:family w:val="swiss"/>
    <w:pitch w:val="variable"/>
    <w:sig w:usb0="00000007" w:usb1="00000000" w:usb2="00000000" w:usb3="00000000" w:csb0="000000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94806" w14:textId="74B895ED" w:rsidR="00281C39" w:rsidRPr="00274E24" w:rsidRDefault="00AB1666" w:rsidP="00274E24">
    <w:pPr>
      <w:rPr>
        <w:rFonts w:ascii="ITC Avant Garde Gothic" w:hAnsi="ITC Avant Garde Gothic" w:cs="Calibri"/>
        <w:sz w:val="18"/>
        <w:szCs w:val="18"/>
      </w:rPr>
    </w:pPr>
    <w:r w:rsidRPr="00D92AF9">
      <w:rPr>
        <w:rFonts w:ascii="ITC Avant Garde Gothic" w:hAnsi="ITC Avant Garde Gothic" w:cs="Calibri"/>
        <w:sz w:val="18"/>
        <w:szCs w:val="18"/>
      </w:rPr>
      <w:t>© The</w:t>
    </w:r>
    <w:r w:rsidR="002275EA">
      <w:rPr>
        <w:rFonts w:ascii="ITC Avant Garde Gothic" w:hAnsi="ITC Avant Garde Gothic" w:cs="Calibri"/>
        <w:sz w:val="18"/>
        <w:szCs w:val="18"/>
      </w:rPr>
      <w:t xml:space="preserve"> Legal Quality Standard of Ireland</w:t>
    </w:r>
    <w:r>
      <w:rPr>
        <w:rFonts w:ascii="ITC Avant Garde Gothic" w:hAnsi="ITC Avant Garde Gothic" w:cs="Calibri"/>
        <w:sz w:val="18"/>
        <w:szCs w:val="18"/>
      </w:rPr>
      <w:t xml:space="preserve"> 2</w:t>
    </w:r>
    <w:r w:rsidR="00E06D0B">
      <w:rPr>
        <w:rFonts w:ascii="ITC Avant Garde Gothic" w:hAnsi="ITC Avant Garde Gothic" w:cs="Calibri"/>
        <w:sz w:val="18"/>
        <w:szCs w:val="18"/>
      </w:rPr>
      <w:t>023 v4</w:t>
    </w:r>
    <w:r w:rsidR="00A72E30">
      <w:rPr>
        <w:rFonts w:ascii="ITC Avant Garde Gothic" w:hAnsi="ITC Avant Garde Gothic" w:cs="Calibri"/>
        <w:sz w:val="18"/>
        <w:szCs w:val="18"/>
      </w:rPr>
      <w:t>.0</w:t>
    </w:r>
  </w:p>
  <w:p w14:paraId="26F94807" w14:textId="77777777" w:rsidR="00281C39" w:rsidRDefault="00300F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94808" w14:textId="6B05F021" w:rsidR="00281C39" w:rsidRPr="00E06567" w:rsidRDefault="00AB1666" w:rsidP="00281C39">
    <w:pPr>
      <w:rPr>
        <w:rFonts w:ascii="ITC Avant Garde Gothic" w:hAnsi="ITC Avant Garde Gothic"/>
        <w:sz w:val="18"/>
        <w:szCs w:val="18"/>
      </w:rPr>
    </w:pPr>
    <w:r w:rsidRPr="00E06567">
      <w:rPr>
        <w:rFonts w:ascii="ITC Avant Garde Gothic" w:hAnsi="ITC Avant Garde Gothic" w:cs="Calibri"/>
        <w:sz w:val="18"/>
        <w:szCs w:val="18"/>
      </w:rPr>
      <w:t xml:space="preserve">© The </w:t>
    </w:r>
    <w:r w:rsidR="002275EA">
      <w:rPr>
        <w:rFonts w:ascii="ITC Avant Garde Gothic" w:hAnsi="ITC Avant Garde Gothic" w:cs="Calibri"/>
        <w:sz w:val="18"/>
        <w:szCs w:val="18"/>
      </w:rPr>
      <w:t>Legal Quality Standard of Ireland</w:t>
    </w:r>
    <w:r>
      <w:rPr>
        <w:rFonts w:ascii="ITC Avant Garde Gothic" w:hAnsi="ITC Avant Garde Gothic" w:cs="Calibri"/>
        <w:sz w:val="18"/>
        <w:szCs w:val="18"/>
      </w:rPr>
      <w:t xml:space="preserve"> 20</w:t>
    </w:r>
    <w:r w:rsidR="00E06D0B">
      <w:rPr>
        <w:rFonts w:ascii="ITC Avant Garde Gothic" w:hAnsi="ITC Avant Garde Gothic" w:cs="Calibri"/>
        <w:sz w:val="18"/>
        <w:szCs w:val="18"/>
      </w:rPr>
      <w:t>23</w:t>
    </w:r>
    <w:r w:rsidR="005B0688">
      <w:rPr>
        <w:rFonts w:ascii="ITC Avant Garde Gothic" w:hAnsi="ITC Avant Garde Gothic" w:cs="Calibri"/>
        <w:sz w:val="18"/>
        <w:szCs w:val="18"/>
      </w:rPr>
      <w:t xml:space="preserve"> </w:t>
    </w:r>
    <w:r w:rsidR="00E06D0B">
      <w:rPr>
        <w:rFonts w:ascii="ITC Avant Garde Gothic" w:hAnsi="ITC Avant Garde Gothic" w:cs="Calibri"/>
        <w:sz w:val="18"/>
        <w:szCs w:val="18"/>
      </w:rPr>
      <w:t>v4</w:t>
    </w:r>
    <w:r w:rsidR="00A72E30">
      <w:rPr>
        <w:rFonts w:ascii="ITC Avant Garde Gothic" w:hAnsi="ITC Avant Garde Gothic" w:cs="Calibri"/>
        <w:sz w:val="18"/>
        <w:szCs w:val="18"/>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5A93F" w14:textId="77777777" w:rsidR="008E0E5F" w:rsidRDefault="008E0E5F">
      <w:r>
        <w:separator/>
      </w:r>
    </w:p>
  </w:footnote>
  <w:footnote w:type="continuationSeparator" w:id="0">
    <w:p w14:paraId="09484422" w14:textId="77777777" w:rsidR="008E0E5F" w:rsidRDefault="008E0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7C30" w14:textId="10E78D0F" w:rsidR="002275EA" w:rsidRPr="002275EA" w:rsidRDefault="002275EA" w:rsidP="002275EA">
    <w:pPr>
      <w:pStyle w:val="Header"/>
      <w:ind w:left="-993"/>
    </w:pPr>
    <w:r w:rsidRPr="00361487">
      <w:rPr>
        <w:noProof/>
        <w:lang w:val="en-IE" w:eastAsia="en-IE"/>
      </w:rPr>
      <w:drawing>
        <wp:inline distT="0" distB="0" distL="0" distR="0" wp14:anchorId="214CB1AD" wp14:editId="086474F5">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3DB9" w14:textId="4E2467DE" w:rsidR="002275EA" w:rsidRDefault="002275EA" w:rsidP="002275EA">
    <w:pPr>
      <w:pStyle w:val="Header"/>
      <w:tabs>
        <w:tab w:val="left" w:pos="-851"/>
      </w:tabs>
      <w:ind w:left="-851"/>
    </w:pPr>
    <w:r w:rsidRPr="00361487">
      <w:rPr>
        <w:noProof/>
        <w:lang w:val="en-IE" w:eastAsia="en-IE"/>
      </w:rPr>
      <w:drawing>
        <wp:inline distT="0" distB="0" distL="0" distR="0" wp14:anchorId="182907FD" wp14:editId="3DB46F73">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61D99"/>
    <w:multiLevelType w:val="hybridMultilevel"/>
    <w:tmpl w:val="531834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D095138"/>
    <w:multiLevelType w:val="multilevel"/>
    <w:tmpl w:val="2DA8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4721A"/>
    <w:multiLevelType w:val="hybridMultilevel"/>
    <w:tmpl w:val="514083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C68094B"/>
    <w:multiLevelType w:val="multilevel"/>
    <w:tmpl w:val="4686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E35F2"/>
    <w:multiLevelType w:val="hybridMultilevel"/>
    <w:tmpl w:val="A7BA02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AAB70D9"/>
    <w:multiLevelType w:val="multilevel"/>
    <w:tmpl w:val="1312F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6E362D"/>
    <w:multiLevelType w:val="hybridMultilevel"/>
    <w:tmpl w:val="4DA06B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Arial"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Arial"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Arial" w:hint="default"/>
      </w:rPr>
    </w:lvl>
    <w:lvl w:ilvl="8" w:tplc="18090005" w:tentative="1">
      <w:start w:val="1"/>
      <w:numFmt w:val="bullet"/>
      <w:lvlText w:val=""/>
      <w:lvlJc w:val="left"/>
      <w:pPr>
        <w:ind w:left="6840" w:hanging="360"/>
      </w:pPr>
      <w:rPr>
        <w:rFonts w:ascii="Wingdings" w:hAnsi="Wingdings" w:hint="default"/>
      </w:rPr>
    </w:lvl>
  </w:abstractNum>
  <w:abstractNum w:abstractNumId="8" w15:restartNumberingAfterBreak="0">
    <w:nsid w:val="59C05E3E"/>
    <w:multiLevelType w:val="multilevel"/>
    <w:tmpl w:val="7DB0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1763F45"/>
    <w:multiLevelType w:val="hybridMultilevel"/>
    <w:tmpl w:val="FA4856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B502068"/>
    <w:multiLevelType w:val="multilevel"/>
    <w:tmpl w:val="F45AA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667211">
    <w:abstractNumId w:val="7"/>
  </w:num>
  <w:num w:numId="2" w16cid:durableId="1413550134">
    <w:abstractNumId w:val="9"/>
  </w:num>
  <w:num w:numId="3" w16cid:durableId="533006998">
    <w:abstractNumId w:val="3"/>
  </w:num>
  <w:num w:numId="4" w16cid:durableId="794713350">
    <w:abstractNumId w:val="5"/>
  </w:num>
  <w:num w:numId="5" w16cid:durableId="721639618">
    <w:abstractNumId w:val="8"/>
  </w:num>
  <w:num w:numId="6" w16cid:durableId="184372801">
    <w:abstractNumId w:val="6"/>
  </w:num>
  <w:num w:numId="7" w16cid:durableId="661469849">
    <w:abstractNumId w:val="2"/>
  </w:num>
  <w:num w:numId="8" w16cid:durableId="1329167054">
    <w:abstractNumId w:val="0"/>
  </w:num>
  <w:num w:numId="9" w16cid:durableId="1161431303">
    <w:abstractNumId w:val="1"/>
  </w:num>
  <w:num w:numId="10" w16cid:durableId="137302773">
    <w:abstractNumId w:val="10"/>
  </w:num>
  <w:num w:numId="11" w16cid:durableId="9864740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666"/>
    <w:rsid w:val="00156980"/>
    <w:rsid w:val="001C7007"/>
    <w:rsid w:val="00205DC9"/>
    <w:rsid w:val="002275EA"/>
    <w:rsid w:val="00287725"/>
    <w:rsid w:val="00293631"/>
    <w:rsid w:val="00300F6F"/>
    <w:rsid w:val="00303860"/>
    <w:rsid w:val="003276E1"/>
    <w:rsid w:val="00395E67"/>
    <w:rsid w:val="003F7CE7"/>
    <w:rsid w:val="00414911"/>
    <w:rsid w:val="004243C1"/>
    <w:rsid w:val="00497889"/>
    <w:rsid w:val="004D3DD6"/>
    <w:rsid w:val="00534942"/>
    <w:rsid w:val="005B0688"/>
    <w:rsid w:val="005D0988"/>
    <w:rsid w:val="005E4515"/>
    <w:rsid w:val="006565B7"/>
    <w:rsid w:val="006C0811"/>
    <w:rsid w:val="00724225"/>
    <w:rsid w:val="00793526"/>
    <w:rsid w:val="007D4236"/>
    <w:rsid w:val="008337A9"/>
    <w:rsid w:val="008E0E5F"/>
    <w:rsid w:val="009641AA"/>
    <w:rsid w:val="00A72E30"/>
    <w:rsid w:val="00AB1666"/>
    <w:rsid w:val="00C03210"/>
    <w:rsid w:val="00C66C38"/>
    <w:rsid w:val="00CB333F"/>
    <w:rsid w:val="00CE1B37"/>
    <w:rsid w:val="00DE0DA2"/>
    <w:rsid w:val="00E06D0B"/>
    <w:rsid w:val="00E62334"/>
    <w:rsid w:val="00E85721"/>
    <w:rsid w:val="00F46F7B"/>
    <w:rsid w:val="27245EDF"/>
    <w:rsid w:val="2C3963F4"/>
    <w:rsid w:val="2FC60D47"/>
    <w:rsid w:val="335AD479"/>
    <w:rsid w:val="3F9E9373"/>
    <w:rsid w:val="520F925A"/>
    <w:rsid w:val="64588F18"/>
    <w:rsid w:val="6E42D016"/>
    <w:rsid w:val="794153FB"/>
    <w:rsid w:val="7CEAE7A4"/>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94798"/>
  <w15:chartTrackingRefBased/>
  <w15:docId w15:val="{FEAFB4F7-A3F8-9A4C-B296-1324D8752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666"/>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1666"/>
    <w:pPr>
      <w:tabs>
        <w:tab w:val="center" w:pos="4513"/>
        <w:tab w:val="right" w:pos="9026"/>
      </w:tabs>
    </w:pPr>
  </w:style>
  <w:style w:type="character" w:customStyle="1" w:styleId="FooterChar">
    <w:name w:val="Footer Char"/>
    <w:basedOn w:val="DefaultParagraphFont"/>
    <w:link w:val="Footer"/>
    <w:uiPriority w:val="99"/>
    <w:rsid w:val="00AB1666"/>
    <w:rPr>
      <w:rFonts w:ascii="Times New Roman" w:eastAsia="Times New Roman" w:hAnsi="Times New Roman" w:cs="Times New Roman"/>
      <w:lang w:val="en-US"/>
    </w:rPr>
  </w:style>
  <w:style w:type="paragraph" w:styleId="Header">
    <w:name w:val="header"/>
    <w:basedOn w:val="Normal"/>
    <w:link w:val="HeaderChar"/>
    <w:uiPriority w:val="99"/>
    <w:unhideWhenUsed/>
    <w:rsid w:val="005B0688"/>
    <w:pPr>
      <w:tabs>
        <w:tab w:val="center" w:pos="4680"/>
        <w:tab w:val="right" w:pos="9360"/>
      </w:tabs>
    </w:pPr>
  </w:style>
  <w:style w:type="character" w:customStyle="1" w:styleId="HeaderChar">
    <w:name w:val="Header Char"/>
    <w:basedOn w:val="DefaultParagraphFont"/>
    <w:link w:val="Header"/>
    <w:uiPriority w:val="99"/>
    <w:rsid w:val="005B0688"/>
    <w:rPr>
      <w:rFonts w:ascii="Times New Roman" w:eastAsia="Times New Roman" w:hAnsi="Times New Roman" w:cs="Times New Roman"/>
      <w:lang w:val="en-US"/>
    </w:rPr>
  </w:style>
  <w:style w:type="paragraph" w:styleId="ListParagraph">
    <w:name w:val="List Paragraph"/>
    <w:basedOn w:val="Normal"/>
    <w:uiPriority w:val="34"/>
    <w:qFormat/>
    <w:rsid w:val="00205DC9"/>
    <w:pPr>
      <w:ind w:left="720"/>
      <w:contextualSpacing/>
    </w:pPr>
  </w:style>
  <w:style w:type="character" w:styleId="Hyperlink">
    <w:name w:val="Hyperlink"/>
    <w:basedOn w:val="DefaultParagraphFont"/>
    <w:uiPriority w:val="99"/>
    <w:unhideWhenUsed/>
    <w:rsid w:val="00CE1B37"/>
    <w:rPr>
      <w:color w:val="0563C1" w:themeColor="hyperlink"/>
      <w:u w:val="single"/>
    </w:rPr>
  </w:style>
  <w:style w:type="paragraph" w:styleId="NormalWeb">
    <w:name w:val="Normal (Web)"/>
    <w:basedOn w:val="Normal"/>
    <w:uiPriority w:val="99"/>
    <w:unhideWhenUsed/>
    <w:rsid w:val="006565B7"/>
    <w:pPr>
      <w:spacing w:before="100" w:beforeAutospacing="1" w:after="100" w:afterAutospacing="1"/>
    </w:pPr>
    <w:rPr>
      <w:lang w:val="en-IE" w:eastAsia="en-IE"/>
    </w:rPr>
  </w:style>
  <w:style w:type="character" w:styleId="Strong">
    <w:name w:val="Strong"/>
    <w:basedOn w:val="DefaultParagraphFont"/>
    <w:uiPriority w:val="22"/>
    <w:qFormat/>
    <w:rsid w:val="00793526"/>
    <w:rPr>
      <w:b/>
      <w:bCs/>
    </w:rPr>
  </w:style>
  <w:style w:type="character" w:styleId="Emphasis">
    <w:name w:val="Emphasis"/>
    <w:basedOn w:val="DefaultParagraphFont"/>
    <w:uiPriority w:val="20"/>
    <w:qFormat/>
    <w:rsid w:val="00793526"/>
    <w:rPr>
      <w:i/>
      <w:iCs/>
    </w:rPr>
  </w:style>
  <w:style w:type="paragraph" w:styleId="BalloonText">
    <w:name w:val="Balloon Text"/>
    <w:basedOn w:val="Normal"/>
    <w:link w:val="BalloonTextChar"/>
    <w:uiPriority w:val="99"/>
    <w:semiHidden/>
    <w:unhideWhenUsed/>
    <w:rsid w:val="005349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942"/>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0253">
      <w:bodyDiv w:val="1"/>
      <w:marLeft w:val="0"/>
      <w:marRight w:val="0"/>
      <w:marTop w:val="0"/>
      <w:marBottom w:val="0"/>
      <w:divBdr>
        <w:top w:val="none" w:sz="0" w:space="0" w:color="auto"/>
        <w:left w:val="none" w:sz="0" w:space="0" w:color="auto"/>
        <w:bottom w:val="none" w:sz="0" w:space="0" w:color="auto"/>
        <w:right w:val="none" w:sz="0" w:space="0" w:color="auto"/>
      </w:divBdr>
    </w:div>
    <w:div w:id="817384256">
      <w:bodyDiv w:val="1"/>
      <w:marLeft w:val="0"/>
      <w:marRight w:val="0"/>
      <w:marTop w:val="0"/>
      <w:marBottom w:val="0"/>
      <w:divBdr>
        <w:top w:val="none" w:sz="0" w:space="0" w:color="auto"/>
        <w:left w:val="none" w:sz="0" w:space="0" w:color="auto"/>
        <w:bottom w:val="none" w:sz="0" w:space="0" w:color="auto"/>
        <w:right w:val="none" w:sz="0" w:space="0" w:color="auto"/>
      </w:divBdr>
    </w:div>
    <w:div w:id="958226191">
      <w:bodyDiv w:val="1"/>
      <w:marLeft w:val="0"/>
      <w:marRight w:val="0"/>
      <w:marTop w:val="0"/>
      <w:marBottom w:val="0"/>
      <w:divBdr>
        <w:top w:val="none" w:sz="0" w:space="0" w:color="auto"/>
        <w:left w:val="none" w:sz="0" w:space="0" w:color="auto"/>
        <w:bottom w:val="none" w:sz="0" w:space="0" w:color="auto"/>
        <w:right w:val="none" w:sz="0" w:space="0" w:color="auto"/>
      </w:divBdr>
    </w:div>
    <w:div w:id="1093014349">
      <w:bodyDiv w:val="1"/>
      <w:marLeft w:val="0"/>
      <w:marRight w:val="0"/>
      <w:marTop w:val="0"/>
      <w:marBottom w:val="0"/>
      <w:divBdr>
        <w:top w:val="none" w:sz="0" w:space="0" w:color="auto"/>
        <w:left w:val="none" w:sz="0" w:space="0" w:color="auto"/>
        <w:bottom w:val="none" w:sz="0" w:space="0" w:color="auto"/>
        <w:right w:val="none" w:sz="0" w:space="0" w:color="auto"/>
      </w:divBdr>
    </w:div>
    <w:div w:id="1195466571">
      <w:bodyDiv w:val="1"/>
      <w:marLeft w:val="0"/>
      <w:marRight w:val="0"/>
      <w:marTop w:val="0"/>
      <w:marBottom w:val="0"/>
      <w:divBdr>
        <w:top w:val="none" w:sz="0" w:space="0" w:color="auto"/>
        <w:left w:val="none" w:sz="0" w:space="0" w:color="auto"/>
        <w:bottom w:val="none" w:sz="0" w:space="0" w:color="auto"/>
        <w:right w:val="none" w:sz="0" w:space="0" w:color="auto"/>
      </w:divBdr>
    </w:div>
    <w:div w:id="1300300371">
      <w:bodyDiv w:val="1"/>
      <w:marLeft w:val="0"/>
      <w:marRight w:val="0"/>
      <w:marTop w:val="0"/>
      <w:marBottom w:val="0"/>
      <w:divBdr>
        <w:top w:val="none" w:sz="0" w:space="0" w:color="auto"/>
        <w:left w:val="none" w:sz="0" w:space="0" w:color="auto"/>
        <w:bottom w:val="none" w:sz="0" w:space="0" w:color="auto"/>
        <w:right w:val="none" w:sz="0" w:space="0" w:color="auto"/>
      </w:divBdr>
      <w:divsChild>
        <w:div w:id="1130896490">
          <w:marLeft w:val="0"/>
          <w:marRight w:val="0"/>
          <w:marTop w:val="100"/>
          <w:marBottom w:val="100"/>
          <w:divBdr>
            <w:top w:val="none" w:sz="0" w:space="0" w:color="auto"/>
            <w:left w:val="none" w:sz="0" w:space="0" w:color="auto"/>
            <w:bottom w:val="none" w:sz="0" w:space="0" w:color="auto"/>
            <w:right w:val="none" w:sz="0" w:space="0" w:color="auto"/>
          </w:divBdr>
          <w:divsChild>
            <w:div w:id="764956152">
              <w:marLeft w:val="0"/>
              <w:marRight w:val="0"/>
              <w:marTop w:val="100"/>
              <w:marBottom w:val="100"/>
              <w:divBdr>
                <w:top w:val="none" w:sz="0" w:space="0" w:color="auto"/>
                <w:left w:val="none" w:sz="0" w:space="0" w:color="auto"/>
                <w:bottom w:val="none" w:sz="0" w:space="0" w:color="auto"/>
                <w:right w:val="none" w:sz="0" w:space="0" w:color="auto"/>
              </w:divBdr>
              <w:divsChild>
                <w:div w:id="1523740427">
                  <w:marLeft w:val="0"/>
                  <w:marRight w:val="0"/>
                  <w:marTop w:val="0"/>
                  <w:marBottom w:val="0"/>
                  <w:divBdr>
                    <w:top w:val="none" w:sz="0" w:space="0" w:color="auto"/>
                    <w:left w:val="none" w:sz="0" w:space="0" w:color="auto"/>
                    <w:bottom w:val="none" w:sz="0" w:space="0" w:color="auto"/>
                    <w:right w:val="none" w:sz="0" w:space="0" w:color="auto"/>
                  </w:divBdr>
                  <w:divsChild>
                    <w:div w:id="1619871334">
                      <w:marLeft w:val="0"/>
                      <w:marRight w:val="0"/>
                      <w:marTop w:val="750"/>
                      <w:marBottom w:val="0"/>
                      <w:divBdr>
                        <w:top w:val="none" w:sz="0" w:space="0" w:color="auto"/>
                        <w:left w:val="none" w:sz="0" w:space="0" w:color="auto"/>
                        <w:bottom w:val="none" w:sz="0" w:space="0" w:color="auto"/>
                        <w:right w:val="none" w:sz="0" w:space="0" w:color="auto"/>
                      </w:divBdr>
                      <w:divsChild>
                        <w:div w:id="1208103645">
                          <w:marLeft w:val="0"/>
                          <w:marRight w:val="0"/>
                          <w:marTop w:val="0"/>
                          <w:marBottom w:val="0"/>
                          <w:divBdr>
                            <w:top w:val="none" w:sz="0" w:space="0" w:color="auto"/>
                            <w:left w:val="none" w:sz="0" w:space="0" w:color="auto"/>
                            <w:bottom w:val="none" w:sz="0" w:space="0" w:color="auto"/>
                            <w:right w:val="none" w:sz="0" w:space="0" w:color="auto"/>
                          </w:divBdr>
                          <w:divsChild>
                            <w:div w:id="769471126">
                              <w:marLeft w:val="0"/>
                              <w:marRight w:val="0"/>
                              <w:marTop w:val="450"/>
                              <w:marBottom w:val="450"/>
                              <w:divBdr>
                                <w:top w:val="none" w:sz="0" w:space="0" w:color="auto"/>
                                <w:left w:val="none" w:sz="0" w:space="0" w:color="auto"/>
                                <w:bottom w:val="none" w:sz="0" w:space="0" w:color="auto"/>
                                <w:right w:val="none" w:sz="0" w:space="0" w:color="auto"/>
                              </w:divBdr>
                              <w:divsChild>
                                <w:div w:id="1553344366">
                                  <w:marLeft w:val="0"/>
                                  <w:marRight w:val="0"/>
                                  <w:marTop w:val="0"/>
                                  <w:marBottom w:val="0"/>
                                  <w:divBdr>
                                    <w:top w:val="none" w:sz="0" w:space="0" w:color="auto"/>
                                    <w:left w:val="none" w:sz="0" w:space="0" w:color="auto"/>
                                    <w:bottom w:val="none" w:sz="0" w:space="0" w:color="auto"/>
                                    <w:right w:val="none" w:sz="0" w:space="0" w:color="auto"/>
                                  </w:divBdr>
                                  <w:divsChild>
                                    <w:div w:id="1477721088">
                                      <w:marLeft w:val="0"/>
                                      <w:marRight w:val="0"/>
                                      <w:marTop w:val="0"/>
                                      <w:marBottom w:val="0"/>
                                      <w:divBdr>
                                        <w:top w:val="none" w:sz="0" w:space="0" w:color="auto"/>
                                        <w:left w:val="none" w:sz="0" w:space="0" w:color="auto"/>
                                        <w:bottom w:val="none" w:sz="0" w:space="0" w:color="auto"/>
                                        <w:right w:val="none" w:sz="0" w:space="0" w:color="auto"/>
                                      </w:divBdr>
                                      <w:divsChild>
                                        <w:div w:id="1376353084">
                                          <w:marLeft w:val="0"/>
                                          <w:marRight w:val="0"/>
                                          <w:marTop w:val="0"/>
                                          <w:marBottom w:val="0"/>
                                          <w:divBdr>
                                            <w:top w:val="none" w:sz="0" w:space="0" w:color="auto"/>
                                            <w:left w:val="none" w:sz="0" w:space="0" w:color="auto"/>
                                            <w:bottom w:val="none" w:sz="0" w:space="0" w:color="auto"/>
                                            <w:right w:val="none" w:sz="0" w:space="0" w:color="auto"/>
                                          </w:divBdr>
                                          <w:divsChild>
                                            <w:div w:id="369039167">
                                              <w:marLeft w:val="0"/>
                                              <w:marRight w:val="0"/>
                                              <w:marTop w:val="0"/>
                                              <w:marBottom w:val="0"/>
                                              <w:divBdr>
                                                <w:top w:val="none" w:sz="0" w:space="0" w:color="auto"/>
                                                <w:left w:val="none" w:sz="0" w:space="0" w:color="auto"/>
                                                <w:bottom w:val="none" w:sz="0" w:space="0" w:color="auto"/>
                                                <w:right w:val="none" w:sz="0" w:space="0" w:color="auto"/>
                                              </w:divBdr>
                                              <w:divsChild>
                                                <w:div w:id="1164324698">
                                                  <w:marLeft w:val="0"/>
                                                  <w:marRight w:val="0"/>
                                                  <w:marTop w:val="0"/>
                                                  <w:marBottom w:val="0"/>
                                                  <w:divBdr>
                                                    <w:top w:val="none" w:sz="0" w:space="0" w:color="auto"/>
                                                    <w:left w:val="none" w:sz="0" w:space="0" w:color="auto"/>
                                                    <w:bottom w:val="none" w:sz="0" w:space="0" w:color="auto"/>
                                                    <w:right w:val="none" w:sz="0" w:space="0" w:color="auto"/>
                                                  </w:divBdr>
                                                  <w:divsChild>
                                                    <w:div w:id="95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6508544">
      <w:bodyDiv w:val="1"/>
      <w:marLeft w:val="0"/>
      <w:marRight w:val="0"/>
      <w:marTop w:val="0"/>
      <w:marBottom w:val="0"/>
      <w:divBdr>
        <w:top w:val="none" w:sz="0" w:space="0" w:color="auto"/>
        <w:left w:val="none" w:sz="0" w:space="0" w:color="auto"/>
        <w:bottom w:val="none" w:sz="0" w:space="0" w:color="auto"/>
        <w:right w:val="none" w:sz="0" w:space="0" w:color="auto"/>
      </w:divBdr>
    </w:div>
    <w:div w:id="167407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rishstatutebook.ie/eli/2022/si/454/made/en/prin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irishstatutebook.ie/eli/2021/si/490/made/en/pr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6" ma:contentTypeDescription="Create a new document." ma:contentTypeScope="" ma:versionID="9795606c5e918ea8a154f96559c0f9d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fc69d01c2aebed72a1679edda305297e"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412ED1-A0F5-4A03-8A96-6AF890F0EFDD}">
  <ds:schemaRefs>
    <ds:schemaRef ds:uri="http://schemas.microsoft.com/sharepoint/v3/contenttype/forms"/>
  </ds:schemaRefs>
</ds:datastoreItem>
</file>

<file path=customXml/itemProps2.xml><?xml version="1.0" encoding="utf-8"?>
<ds:datastoreItem xmlns:ds="http://schemas.openxmlformats.org/officeDocument/2006/customXml" ds:itemID="{CD7638B2-CB74-485A-89BC-E44FB593B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22164B-B66D-4CE0-A8E2-02933C04AD56}">
  <ds:schemaRefs>
    <ds:schemaRef ds:uri="http://schemas.microsoft.com/office/infopath/2007/PartnerControls"/>
    <ds:schemaRef ds:uri="http://purl.org/dc/dcmitype/"/>
    <ds:schemaRef ds:uri="http://purl.org/dc/elements/1.1/"/>
    <ds:schemaRef ds:uri="http://schemas.microsoft.com/office/2006/metadata/properties"/>
    <ds:schemaRef ds:uri="http://schemas.microsoft.com/sharepoint/v3"/>
    <ds:schemaRef ds:uri="http://purl.org/dc/terms/"/>
    <ds:schemaRef ds:uri="e63c3104-fc04-4df1-9fa5-31789008da8f"/>
    <ds:schemaRef ds:uri="http://schemas.openxmlformats.org/package/2006/metadata/core-properties"/>
    <ds:schemaRef ds:uri="http://schemas.microsoft.com/office/2006/documentManagement/types"/>
    <ds:schemaRef ds:uri="http://www.w3.org/XML/1998/namespace"/>
    <ds:schemaRef ds:uri="3c98a36d-bd2a-4c0f-a967-82a3b938ead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Julie Brennan</cp:lastModifiedBy>
  <cp:revision>2</cp:revision>
  <cp:lastPrinted>2023-03-02T11:34:00Z</cp:lastPrinted>
  <dcterms:created xsi:type="dcterms:W3CDTF">2023-03-03T14:58:00Z</dcterms:created>
  <dcterms:modified xsi:type="dcterms:W3CDTF">2023-03-03T14:58:00Z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